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ind w:right="140"/>
        <w:jc w:val="right"/>
        <w:rPr>
          <w:rFonts w:ascii="Times New Roman"/>
        </w:rPr>
      </w:pPr>
      <w:r>
        <w:rPr>
          <w:rFonts w:ascii="Times New Roman"/>
          <w:spacing w:val="-2"/>
        </w:rPr>
        <w:t>ORIGINALE</w:t>
      </w:r>
    </w:p>
    <w:p>
      <w:pPr>
        <w:pStyle w:val="BodyText"/>
        <w:ind w:left="282"/>
        <w:jc w:val="left"/>
        <w:rPr>
          <w:sz w:val="20"/>
        </w:rPr>
      </w:pPr>
      <w:r>
        <w:rPr>
          <w:sz w:val="20"/>
        </w:rPr>
        <mc:AlternateContent>
          <mc:Choice Requires="wps">
            <w:drawing>
              <wp:inline distT="0" distB="0" distL="0" distR="0">
                <wp:extent cx="5576570" cy="793750"/>
                <wp:effectExtent l="9525" t="0" r="0" b="6350"/>
                <wp:docPr id="1" name="Group 1"/>
                <wp:cNvGraphicFramePr>
                  <a:graphicFrameLocks/>
                </wp:cNvGraphicFramePr>
                <a:graphic>
                  <a:graphicData uri="http://schemas.microsoft.com/office/word/2010/wordprocessingGroup">
                    <wpg:wgp>
                      <wpg:cNvPr id="1" name="Group 1"/>
                      <wpg:cNvGrpSpPr/>
                      <wpg:grpSpPr>
                        <a:xfrm>
                          <a:off x="0" y="0"/>
                          <a:ext cx="5576570" cy="793750"/>
                          <a:chExt cx="5576570" cy="793750"/>
                        </a:xfrm>
                      </wpg:grpSpPr>
                      <pic:pic>
                        <pic:nvPicPr>
                          <pic:cNvPr id="2" name="Image 2"/>
                          <pic:cNvPicPr/>
                        </pic:nvPicPr>
                        <pic:blipFill>
                          <a:blip r:embed="rId5" cstate="print"/>
                          <a:stretch>
                            <a:fillRect/>
                          </a:stretch>
                        </pic:blipFill>
                        <pic:spPr>
                          <a:xfrm>
                            <a:off x="373062" y="34925"/>
                            <a:ext cx="571499" cy="752475"/>
                          </a:xfrm>
                          <a:prstGeom prst="rect">
                            <a:avLst/>
                          </a:prstGeom>
                        </pic:spPr>
                      </pic:pic>
                      <wps:wsp>
                        <wps:cNvPr id="3" name="Graphic 3"/>
                        <wps:cNvSpPr/>
                        <wps:spPr>
                          <a:xfrm>
                            <a:off x="0" y="3175"/>
                            <a:ext cx="5576570" cy="787400"/>
                          </a:xfrm>
                          <a:custGeom>
                            <a:avLst/>
                            <a:gdLst/>
                            <a:ahLst/>
                            <a:cxnLst/>
                            <a:rect l="l" t="t" r="r" b="b"/>
                            <a:pathLst>
                              <a:path w="5576570" h="787400">
                                <a:moveTo>
                                  <a:pt x="3175" y="3175"/>
                                </a:moveTo>
                                <a:lnTo>
                                  <a:pt x="3175" y="784225"/>
                                </a:lnTo>
                              </a:path>
                              <a:path w="5576570" h="787400">
                                <a:moveTo>
                                  <a:pt x="0" y="0"/>
                                </a:moveTo>
                                <a:lnTo>
                                  <a:pt x="5576570" y="0"/>
                                </a:lnTo>
                              </a:path>
                              <a:path w="5576570" h="787400">
                                <a:moveTo>
                                  <a:pt x="0" y="787400"/>
                                </a:moveTo>
                                <a:lnTo>
                                  <a:pt x="5576570" y="787400"/>
                                </a:lnTo>
                              </a:path>
                            </a:pathLst>
                          </a:custGeom>
                          <a:ln w="6350">
                            <a:solidFill>
                              <a:srgbClr val="000000"/>
                            </a:solidFill>
                            <a:prstDash val="solid"/>
                          </a:ln>
                        </wps:spPr>
                        <wps:bodyPr wrap="square" lIns="0" tIns="0" rIns="0" bIns="0" rtlCol="0">
                          <a:prstTxWarp prst="textNoShape">
                            <a:avLst/>
                          </a:prstTxWarp>
                          <a:noAutofit/>
                        </wps:bodyPr>
                      </wps:wsp>
                      <wps:wsp>
                        <wps:cNvPr id="4" name="Textbox 4"/>
                        <wps:cNvSpPr txBox="1"/>
                        <wps:spPr>
                          <a:xfrm>
                            <a:off x="1285875" y="3175"/>
                            <a:ext cx="4287520" cy="787400"/>
                          </a:xfrm>
                          <a:prstGeom prst="rect">
                            <a:avLst/>
                          </a:prstGeom>
                          <a:ln w="6350">
                            <a:solidFill>
                              <a:srgbClr val="000000"/>
                            </a:solidFill>
                            <a:prstDash val="solid"/>
                          </a:ln>
                        </wps:spPr>
                        <wps:txbx>
                          <w:txbxContent>
                            <w:p>
                              <w:pPr>
                                <w:spacing w:before="0"/>
                                <w:ind w:left="0" w:right="105" w:firstLine="0"/>
                                <w:jc w:val="center"/>
                                <w:rPr>
                                  <w:b/>
                                  <w:sz w:val="48"/>
                                </w:rPr>
                              </w:pPr>
                              <w:r>
                                <w:rPr>
                                  <w:b/>
                                  <w:sz w:val="48"/>
                                </w:rPr>
                                <w:t>COMUNE</w:t>
                              </w:r>
                              <w:r>
                                <w:rPr>
                                  <w:b/>
                                  <w:spacing w:val="-1"/>
                                  <w:sz w:val="48"/>
                                </w:rPr>
                                <w:t> </w:t>
                              </w:r>
                              <w:r>
                                <w:rPr>
                                  <w:b/>
                                  <w:sz w:val="48"/>
                                </w:rPr>
                                <w:t>DI </w:t>
                              </w:r>
                              <w:r>
                                <w:rPr>
                                  <w:b/>
                                  <w:spacing w:val="-4"/>
                                  <w:sz w:val="48"/>
                                </w:rPr>
                                <w:t>OSSI</w:t>
                              </w:r>
                            </w:p>
                            <w:p>
                              <w:pPr>
                                <w:spacing w:before="0"/>
                                <w:ind w:left="1621" w:right="0" w:firstLine="0"/>
                                <w:jc w:val="left"/>
                                <w:rPr>
                                  <w:sz w:val="18"/>
                                </w:rPr>
                              </w:pPr>
                              <w:r>
                                <w:rPr>
                                  <w:sz w:val="18"/>
                                </w:rPr>
                                <w:t>Sede</w:t>
                              </w:r>
                              <w:r>
                                <w:rPr>
                                  <w:spacing w:val="-1"/>
                                  <w:sz w:val="18"/>
                                </w:rPr>
                                <w:t> </w:t>
                              </w:r>
                              <w:r>
                                <w:rPr>
                                  <w:sz w:val="18"/>
                                </w:rPr>
                                <w:t>legale: Via Roma</w:t>
                              </w:r>
                              <w:r>
                                <w:rPr>
                                  <w:spacing w:val="-2"/>
                                  <w:sz w:val="18"/>
                                </w:rPr>
                                <w:t> </w:t>
                              </w:r>
                              <w:r>
                                <w:rPr>
                                  <w:sz w:val="18"/>
                                </w:rPr>
                                <w:t>50 CAP. 07045 </w:t>
                              </w:r>
                              <w:r>
                                <w:rPr>
                                  <w:spacing w:val="-2"/>
                                  <w:sz w:val="18"/>
                                </w:rPr>
                                <w:t>Ossi(SS)</w:t>
                              </w:r>
                            </w:p>
                            <w:p>
                              <w:pPr>
                                <w:spacing w:before="0"/>
                                <w:ind w:left="1980" w:right="0" w:firstLine="0"/>
                                <w:jc w:val="left"/>
                                <w:rPr>
                                  <w:sz w:val="18"/>
                                </w:rPr>
                              </w:pPr>
                              <w:r>
                                <w:rPr>
                                  <w:sz w:val="18"/>
                                </w:rPr>
                                <w:t>C.F. 00094050903 - P.I. </w:t>
                              </w:r>
                              <w:r>
                                <w:rPr>
                                  <w:spacing w:val="-2"/>
                                  <w:sz w:val="18"/>
                                </w:rPr>
                                <w:t>00249810904</w:t>
                              </w:r>
                            </w:p>
                            <w:p>
                              <w:pPr>
                                <w:spacing w:before="0"/>
                                <w:ind w:left="2148" w:right="0" w:firstLine="0"/>
                                <w:jc w:val="left"/>
                                <w:rPr>
                                  <w:sz w:val="18"/>
                                </w:rPr>
                              </w:pPr>
                              <w:r>
                                <w:rPr>
                                  <w:sz w:val="18"/>
                                </w:rPr>
                                <w:t>Tel. 0793403100 Fax </w:t>
                              </w:r>
                              <w:r>
                                <w:rPr>
                                  <w:spacing w:val="-2"/>
                                  <w:sz w:val="18"/>
                                </w:rPr>
                                <w:t>0793403141</w:t>
                              </w:r>
                            </w:p>
                          </w:txbxContent>
                        </wps:txbx>
                        <wps:bodyPr wrap="square" lIns="0" tIns="0" rIns="0" bIns="0" rtlCol="0">
                          <a:noAutofit/>
                        </wps:bodyPr>
                      </wps:wsp>
                    </wpg:wgp>
                  </a:graphicData>
                </a:graphic>
              </wp:inline>
            </w:drawing>
          </mc:Choice>
          <mc:Fallback>
            <w:pict>
              <v:group style="width:439.1pt;height:62.5pt;mso-position-horizontal-relative:char;mso-position-vertical-relative:line" id="docshapegroup1" coordorigin="0,0" coordsize="8782,1250">
                <v:shape style="position:absolute;left:587;top:55;width:900;height:1185" type="#_x0000_t75" id="docshape2" stroked="false">
                  <v:imagedata r:id="rId5" o:title=""/>
                </v:shape>
                <v:shape style="position:absolute;left:0;top:5;width:8782;height:1240" id="docshape3" coordorigin="0,5" coordsize="8782,1240" path="m5,10l5,1240m0,5l8782,5m0,1245l8782,1245e" filled="false" stroked="true" strokeweight=".5pt" strokecolor="#000000">
                  <v:path arrowok="t"/>
                  <v:stroke dashstyle="solid"/>
                </v:shape>
                <v:shapetype id="_x0000_t202" o:spt="202" coordsize="21600,21600" path="m,l,21600r21600,l21600,xe">
                  <v:stroke joinstyle="miter"/>
                  <v:path gradientshapeok="t" o:connecttype="rect"/>
                </v:shapetype>
                <v:shape style="position:absolute;left:2025;top:5;width:6752;height:1240" type="#_x0000_t202" id="docshape4" filled="false" stroked="true" strokeweight=".5pt" strokecolor="#000000">
                  <v:textbox inset="0,0,0,0">
                    <w:txbxContent>
                      <w:p>
                        <w:pPr>
                          <w:spacing w:before="0"/>
                          <w:ind w:left="0" w:right="105" w:firstLine="0"/>
                          <w:jc w:val="center"/>
                          <w:rPr>
                            <w:b/>
                            <w:sz w:val="48"/>
                          </w:rPr>
                        </w:pPr>
                        <w:r>
                          <w:rPr>
                            <w:b/>
                            <w:sz w:val="48"/>
                          </w:rPr>
                          <w:t>COMUNE</w:t>
                        </w:r>
                        <w:r>
                          <w:rPr>
                            <w:b/>
                            <w:spacing w:val="-1"/>
                            <w:sz w:val="48"/>
                          </w:rPr>
                          <w:t> </w:t>
                        </w:r>
                        <w:r>
                          <w:rPr>
                            <w:b/>
                            <w:sz w:val="48"/>
                          </w:rPr>
                          <w:t>DI </w:t>
                        </w:r>
                        <w:r>
                          <w:rPr>
                            <w:b/>
                            <w:spacing w:val="-4"/>
                            <w:sz w:val="48"/>
                          </w:rPr>
                          <w:t>OSSI</w:t>
                        </w:r>
                      </w:p>
                      <w:p>
                        <w:pPr>
                          <w:spacing w:before="0"/>
                          <w:ind w:left="1621" w:right="0" w:firstLine="0"/>
                          <w:jc w:val="left"/>
                          <w:rPr>
                            <w:sz w:val="18"/>
                          </w:rPr>
                        </w:pPr>
                        <w:r>
                          <w:rPr>
                            <w:sz w:val="18"/>
                          </w:rPr>
                          <w:t>Sede</w:t>
                        </w:r>
                        <w:r>
                          <w:rPr>
                            <w:spacing w:val="-1"/>
                            <w:sz w:val="18"/>
                          </w:rPr>
                          <w:t> </w:t>
                        </w:r>
                        <w:r>
                          <w:rPr>
                            <w:sz w:val="18"/>
                          </w:rPr>
                          <w:t>legale: Via Roma</w:t>
                        </w:r>
                        <w:r>
                          <w:rPr>
                            <w:spacing w:val="-2"/>
                            <w:sz w:val="18"/>
                          </w:rPr>
                          <w:t> </w:t>
                        </w:r>
                        <w:r>
                          <w:rPr>
                            <w:sz w:val="18"/>
                          </w:rPr>
                          <w:t>50 CAP. 07045 </w:t>
                        </w:r>
                        <w:r>
                          <w:rPr>
                            <w:spacing w:val="-2"/>
                            <w:sz w:val="18"/>
                          </w:rPr>
                          <w:t>Ossi(SS)</w:t>
                        </w:r>
                      </w:p>
                      <w:p>
                        <w:pPr>
                          <w:spacing w:before="0"/>
                          <w:ind w:left="1980" w:right="0" w:firstLine="0"/>
                          <w:jc w:val="left"/>
                          <w:rPr>
                            <w:sz w:val="18"/>
                          </w:rPr>
                        </w:pPr>
                        <w:r>
                          <w:rPr>
                            <w:sz w:val="18"/>
                          </w:rPr>
                          <w:t>C.F. 00094050903 - P.I. </w:t>
                        </w:r>
                        <w:r>
                          <w:rPr>
                            <w:spacing w:val="-2"/>
                            <w:sz w:val="18"/>
                          </w:rPr>
                          <w:t>00249810904</w:t>
                        </w:r>
                      </w:p>
                      <w:p>
                        <w:pPr>
                          <w:spacing w:before="0"/>
                          <w:ind w:left="2148" w:right="0" w:firstLine="0"/>
                          <w:jc w:val="left"/>
                          <w:rPr>
                            <w:sz w:val="18"/>
                          </w:rPr>
                        </w:pPr>
                        <w:r>
                          <w:rPr>
                            <w:sz w:val="18"/>
                          </w:rPr>
                          <w:t>Tel. 0793403100 Fax </w:t>
                        </w:r>
                        <w:r>
                          <w:rPr>
                            <w:spacing w:val="-2"/>
                            <w:sz w:val="18"/>
                          </w:rPr>
                          <w:t>0793403141</w:t>
                        </w:r>
                      </w:p>
                    </w:txbxContent>
                  </v:textbox>
                  <v:stroke dashstyle="solid"/>
                  <w10:wrap type="none"/>
                </v:shape>
              </v:group>
            </w:pict>
          </mc:Fallback>
        </mc:AlternateContent>
      </w:r>
      <w:r>
        <w:rPr>
          <w:sz w:val="20"/>
        </w:rPr>
      </w:r>
    </w:p>
    <w:p>
      <w:pPr>
        <w:pStyle w:val="Title"/>
      </w:pPr>
      <w:r>
        <w:rPr/>
        <w:t>Decreto</w:t>
      </w:r>
      <w:r>
        <w:rPr>
          <w:spacing w:val="-4"/>
        </w:rPr>
        <w:t> </w:t>
      </w:r>
      <w:r>
        <w:rPr/>
        <w:t>del</w:t>
      </w:r>
      <w:r>
        <w:rPr>
          <w:spacing w:val="-3"/>
        </w:rPr>
        <w:t> </w:t>
      </w:r>
      <w:r>
        <w:rPr>
          <w:spacing w:val="-2"/>
        </w:rPr>
        <w:t>Sindaco</w:t>
      </w:r>
    </w:p>
    <w:p>
      <w:pPr>
        <w:pStyle w:val="BodyText"/>
        <w:ind w:left="0"/>
        <w:jc w:val="left"/>
        <w:rPr>
          <w:rFonts w:ascii="Palatino Linotype"/>
          <w:b/>
          <w:sz w:val="20"/>
        </w:rPr>
      </w:pPr>
    </w:p>
    <w:p>
      <w:pPr>
        <w:pStyle w:val="BodyText"/>
        <w:spacing w:before="42"/>
        <w:ind w:left="0"/>
        <w:jc w:val="left"/>
        <w:rPr>
          <w:rFonts w:ascii="Palatino Linotype"/>
          <w:b/>
          <w:sz w:val="20"/>
        </w:rPr>
      </w:pPr>
    </w:p>
    <w:tbl>
      <w:tblPr>
        <w:tblW w:w="0" w:type="auto"/>
        <w:jc w:val="left"/>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13"/>
        <w:gridCol w:w="7298"/>
      </w:tblGrid>
      <w:tr>
        <w:trPr>
          <w:trHeight w:val="291" w:hRule="atLeast"/>
        </w:trPr>
        <w:tc>
          <w:tcPr>
            <w:tcW w:w="1913" w:type="dxa"/>
            <w:tcBorders>
              <w:bottom w:val="nil"/>
            </w:tcBorders>
          </w:tcPr>
          <w:p>
            <w:pPr>
              <w:pStyle w:val="TableParagraph"/>
              <w:spacing w:line="272" w:lineRule="exact"/>
              <w:rPr>
                <w:rFonts w:ascii="Palatino Linotype"/>
                <w:sz w:val="24"/>
              </w:rPr>
            </w:pPr>
            <w:r>
              <w:rPr>
                <w:rFonts w:ascii="Palatino Linotype"/>
                <w:sz w:val="24"/>
              </w:rPr>
              <w:t>Rep. </w:t>
            </w:r>
            <w:r>
              <w:rPr>
                <w:rFonts w:ascii="Palatino Linotype"/>
                <w:spacing w:val="-2"/>
                <w:sz w:val="24"/>
              </w:rPr>
              <w:t>Interno</w:t>
            </w:r>
          </w:p>
        </w:tc>
        <w:tc>
          <w:tcPr>
            <w:tcW w:w="7298" w:type="dxa"/>
            <w:tcBorders>
              <w:bottom w:val="nil"/>
            </w:tcBorders>
          </w:tcPr>
          <w:p>
            <w:pPr>
              <w:pStyle w:val="TableParagraph"/>
              <w:spacing w:line="272" w:lineRule="exact"/>
              <w:ind w:left="9"/>
              <w:jc w:val="center"/>
              <w:rPr>
                <w:rFonts w:ascii="Palatino Linotype"/>
                <w:b/>
                <w:sz w:val="24"/>
              </w:rPr>
            </w:pPr>
            <w:r>
              <w:rPr>
                <w:rFonts w:ascii="Palatino Linotype"/>
                <w:b/>
                <w:spacing w:val="-2"/>
                <w:sz w:val="24"/>
              </w:rPr>
              <w:t>Oggetto:</w:t>
            </w:r>
          </w:p>
        </w:tc>
      </w:tr>
      <w:tr>
        <w:trPr>
          <w:trHeight w:val="296" w:hRule="atLeast"/>
        </w:trPr>
        <w:tc>
          <w:tcPr>
            <w:tcW w:w="1913" w:type="dxa"/>
            <w:tcBorders>
              <w:top w:val="nil"/>
              <w:bottom w:val="nil"/>
            </w:tcBorders>
          </w:tcPr>
          <w:p>
            <w:pPr>
              <w:pStyle w:val="TableParagraph"/>
              <w:spacing w:line="276" w:lineRule="exact"/>
              <w:rPr>
                <w:rFonts w:ascii="Palatino Linotype" w:hAnsi="Palatino Linotype"/>
                <w:sz w:val="24"/>
              </w:rPr>
            </w:pPr>
            <w:r>
              <w:rPr>
                <w:rFonts w:ascii="Palatino Linotype" w:hAnsi="Palatino Linotype"/>
                <w:sz w:val="24"/>
              </w:rPr>
              <w:t>N°</w:t>
            </w:r>
            <w:r>
              <w:rPr>
                <w:rFonts w:ascii="Palatino Linotype" w:hAnsi="Palatino Linotype"/>
                <w:spacing w:val="60"/>
                <w:sz w:val="24"/>
              </w:rPr>
              <w:t> </w:t>
            </w:r>
            <w:r>
              <w:rPr>
                <w:rFonts w:ascii="Palatino Linotype" w:hAnsi="Palatino Linotype"/>
                <w:spacing w:val="-10"/>
                <w:sz w:val="24"/>
              </w:rPr>
              <w:t>9</w:t>
            </w:r>
          </w:p>
        </w:tc>
        <w:tc>
          <w:tcPr>
            <w:tcW w:w="7298" w:type="dxa"/>
            <w:tcBorders>
              <w:top w:val="nil"/>
              <w:bottom w:val="nil"/>
            </w:tcBorders>
          </w:tcPr>
          <w:p>
            <w:pPr>
              <w:pStyle w:val="TableParagraph"/>
              <w:tabs>
                <w:tab w:pos="1437" w:val="left" w:leader="none"/>
                <w:tab w:pos="3045" w:val="left" w:leader="none"/>
                <w:tab w:pos="3646" w:val="left" w:leader="none"/>
                <w:tab w:pos="4346" w:val="left" w:leader="none"/>
                <w:tab w:pos="5660" w:val="left" w:leader="none"/>
                <w:tab w:pos="6868" w:val="left" w:leader="none"/>
              </w:tabs>
              <w:spacing w:line="273" w:lineRule="exact"/>
              <w:rPr>
                <w:i/>
                <w:sz w:val="24"/>
              </w:rPr>
            </w:pPr>
            <w:r>
              <w:rPr>
                <w:i/>
                <w:spacing w:val="-2"/>
                <w:w w:val="110"/>
                <w:sz w:val="24"/>
              </w:rPr>
              <w:t>DECRETO</w:t>
            </w:r>
            <w:r>
              <w:rPr>
                <w:i/>
                <w:sz w:val="24"/>
              </w:rPr>
              <w:tab/>
            </w:r>
            <w:r>
              <w:rPr>
                <w:i/>
                <w:spacing w:val="-2"/>
                <w:w w:val="110"/>
                <w:sz w:val="24"/>
              </w:rPr>
              <w:t>SINDACALE</w:t>
            </w:r>
            <w:r>
              <w:rPr>
                <w:i/>
                <w:sz w:val="24"/>
              </w:rPr>
              <w:tab/>
            </w:r>
            <w:r>
              <w:rPr>
                <w:i/>
                <w:spacing w:val="-5"/>
                <w:w w:val="110"/>
                <w:sz w:val="24"/>
              </w:rPr>
              <w:t>N.5</w:t>
            </w:r>
            <w:r>
              <w:rPr>
                <w:i/>
                <w:sz w:val="24"/>
              </w:rPr>
              <w:tab/>
            </w:r>
            <w:r>
              <w:rPr>
                <w:i/>
                <w:spacing w:val="-5"/>
                <w:w w:val="110"/>
                <w:sz w:val="24"/>
              </w:rPr>
              <w:t>DEL</w:t>
            </w:r>
            <w:r>
              <w:rPr>
                <w:i/>
                <w:sz w:val="24"/>
              </w:rPr>
              <w:tab/>
            </w:r>
            <w:r>
              <w:rPr>
                <w:i/>
                <w:spacing w:val="-2"/>
                <w:w w:val="110"/>
                <w:sz w:val="24"/>
              </w:rPr>
              <w:t>26.06.2025</w:t>
            </w:r>
            <w:r>
              <w:rPr>
                <w:i/>
                <w:sz w:val="24"/>
              </w:rPr>
              <w:tab/>
            </w:r>
            <w:r>
              <w:rPr>
                <w:i/>
                <w:spacing w:val="-2"/>
                <w:w w:val="110"/>
                <w:sz w:val="24"/>
              </w:rPr>
              <w:t>AVENTE</w:t>
            </w:r>
            <w:r>
              <w:rPr>
                <w:i/>
                <w:sz w:val="24"/>
              </w:rPr>
              <w:tab/>
            </w:r>
            <w:r>
              <w:rPr>
                <w:i/>
                <w:spacing w:val="-5"/>
                <w:w w:val="110"/>
                <w:sz w:val="24"/>
              </w:rPr>
              <w:t>AD</w:t>
            </w:r>
          </w:p>
        </w:tc>
      </w:tr>
      <w:tr>
        <w:trPr>
          <w:trHeight w:val="570" w:hRule="atLeast"/>
        </w:trPr>
        <w:tc>
          <w:tcPr>
            <w:tcW w:w="1913" w:type="dxa"/>
            <w:tcBorders>
              <w:top w:val="nil"/>
              <w:bottom w:val="nil"/>
            </w:tcBorders>
          </w:tcPr>
          <w:p>
            <w:pPr>
              <w:pStyle w:val="TableParagraph"/>
              <w:spacing w:line="311" w:lineRule="exact"/>
              <w:rPr>
                <w:rFonts w:ascii="Palatino Linotype"/>
                <w:sz w:val="24"/>
              </w:rPr>
            </w:pPr>
            <w:r>
              <w:rPr>
                <w:rFonts w:ascii="Palatino Linotype"/>
                <w:sz w:val="24"/>
              </w:rPr>
              <w:t>del 22-07-</w:t>
            </w:r>
            <w:r>
              <w:rPr>
                <w:rFonts w:ascii="Palatino Linotype"/>
                <w:spacing w:val="-4"/>
                <w:sz w:val="24"/>
              </w:rPr>
              <w:t>2025</w:t>
            </w:r>
          </w:p>
        </w:tc>
        <w:tc>
          <w:tcPr>
            <w:tcW w:w="7298" w:type="dxa"/>
            <w:tcBorders>
              <w:top w:val="nil"/>
              <w:bottom w:val="nil"/>
            </w:tcBorders>
          </w:tcPr>
          <w:p>
            <w:pPr>
              <w:pStyle w:val="TableParagraph"/>
              <w:tabs>
                <w:tab w:pos="1811" w:val="left" w:leader="none"/>
                <w:tab w:pos="3239" w:val="left" w:leader="none"/>
                <w:tab w:pos="5201" w:val="left" w:leader="none"/>
              </w:tabs>
              <w:spacing w:line="266" w:lineRule="exact"/>
              <w:rPr>
                <w:i/>
                <w:sz w:val="24"/>
              </w:rPr>
            </w:pPr>
            <w:r>
              <w:rPr>
                <w:i/>
                <w:spacing w:val="-2"/>
                <w:w w:val="120"/>
                <w:sz w:val="24"/>
              </w:rPr>
              <w:t>OGGETTO:</w:t>
            </w:r>
            <w:r>
              <w:rPr>
                <w:i/>
                <w:sz w:val="24"/>
              </w:rPr>
              <w:tab/>
            </w:r>
            <w:r>
              <w:rPr>
                <w:i/>
                <w:spacing w:val="-2"/>
                <w:w w:val="120"/>
                <w:sz w:val="24"/>
              </w:rPr>
              <w:t>NUOVA</w:t>
            </w:r>
            <w:r>
              <w:rPr>
                <w:i/>
                <w:sz w:val="24"/>
              </w:rPr>
              <w:tab/>
            </w:r>
            <w:r>
              <w:rPr>
                <w:i/>
                <w:spacing w:val="-2"/>
                <w:w w:val="120"/>
                <w:sz w:val="24"/>
              </w:rPr>
              <w:t>STRUTTURA</w:t>
            </w:r>
            <w:r>
              <w:rPr>
                <w:i/>
                <w:sz w:val="24"/>
              </w:rPr>
              <w:tab/>
            </w:r>
            <w:r>
              <w:rPr>
                <w:i/>
                <w:spacing w:val="-2"/>
                <w:w w:val="120"/>
                <w:sz w:val="24"/>
              </w:rPr>
              <w:t>ORGANIZZATIVA</w:t>
            </w:r>
          </w:p>
          <w:p>
            <w:pPr>
              <w:pStyle w:val="TableParagraph"/>
              <w:spacing w:line="276" w:lineRule="exact" w:before="8"/>
              <w:rPr>
                <w:i/>
                <w:sz w:val="24"/>
              </w:rPr>
            </w:pPr>
            <w:r>
              <w:rPr>
                <w:i/>
                <w:w w:val="115"/>
                <w:sz w:val="24"/>
              </w:rPr>
              <w:t>COMUNALE:</w:t>
            </w:r>
            <w:r>
              <w:rPr>
                <w:i/>
                <w:spacing w:val="19"/>
                <w:w w:val="115"/>
                <w:sz w:val="24"/>
              </w:rPr>
              <w:t> </w:t>
            </w:r>
            <w:r>
              <w:rPr>
                <w:i/>
                <w:w w:val="115"/>
                <w:sz w:val="24"/>
              </w:rPr>
              <w:t>NOMINA</w:t>
            </w:r>
            <w:r>
              <w:rPr>
                <w:i/>
                <w:spacing w:val="20"/>
                <w:w w:val="115"/>
                <w:sz w:val="24"/>
              </w:rPr>
              <w:t> </w:t>
            </w:r>
            <w:r>
              <w:rPr>
                <w:i/>
                <w:w w:val="115"/>
                <w:sz w:val="24"/>
              </w:rPr>
              <w:t>RESPONSABILI</w:t>
            </w:r>
            <w:r>
              <w:rPr>
                <w:i/>
                <w:spacing w:val="20"/>
                <w:w w:val="115"/>
                <w:sz w:val="24"/>
              </w:rPr>
              <w:t> </w:t>
            </w:r>
            <w:r>
              <w:rPr>
                <w:i/>
                <w:w w:val="115"/>
                <w:sz w:val="24"/>
              </w:rPr>
              <w:t>DI</w:t>
            </w:r>
            <w:r>
              <w:rPr>
                <w:i/>
                <w:spacing w:val="19"/>
                <w:w w:val="115"/>
                <w:sz w:val="24"/>
              </w:rPr>
              <w:t> </w:t>
            </w:r>
            <w:r>
              <w:rPr>
                <w:i/>
                <w:w w:val="115"/>
                <w:sz w:val="24"/>
              </w:rPr>
              <w:t>SETTORE,</w:t>
            </w:r>
            <w:r>
              <w:rPr>
                <w:i/>
                <w:spacing w:val="20"/>
                <w:w w:val="115"/>
                <w:sz w:val="24"/>
              </w:rPr>
              <w:t> </w:t>
            </w:r>
            <w:r>
              <w:rPr>
                <w:i/>
                <w:spacing w:val="-2"/>
                <w:w w:val="115"/>
                <w:sz w:val="24"/>
              </w:rPr>
              <w:t>TITOLARI</w:t>
            </w:r>
          </w:p>
        </w:tc>
      </w:tr>
      <w:tr>
        <w:trPr>
          <w:trHeight w:val="289" w:hRule="atLeast"/>
        </w:trPr>
        <w:tc>
          <w:tcPr>
            <w:tcW w:w="1913" w:type="dxa"/>
            <w:tcBorders>
              <w:top w:val="nil"/>
              <w:bottom w:val="nil"/>
            </w:tcBorders>
          </w:tcPr>
          <w:p>
            <w:pPr>
              <w:pStyle w:val="TableParagraph"/>
              <w:ind w:left="0"/>
              <w:rPr>
                <w:rFonts w:ascii="Times New Roman"/>
                <w:sz w:val="20"/>
              </w:rPr>
            </w:pPr>
          </w:p>
        </w:tc>
        <w:tc>
          <w:tcPr>
            <w:tcW w:w="7298" w:type="dxa"/>
            <w:tcBorders>
              <w:top w:val="nil"/>
              <w:bottom w:val="nil"/>
            </w:tcBorders>
          </w:tcPr>
          <w:p>
            <w:pPr>
              <w:pStyle w:val="TableParagraph"/>
              <w:tabs>
                <w:tab w:pos="673" w:val="left" w:leader="none"/>
                <w:tab w:pos="2197" w:val="left" w:leader="none"/>
                <w:tab w:pos="2800" w:val="left" w:leader="none"/>
                <w:tab w:pos="4230" w:val="left" w:leader="none"/>
                <w:tab w:pos="6694" w:val="left" w:leader="none"/>
              </w:tabs>
              <w:spacing w:line="269" w:lineRule="exact"/>
              <w:rPr>
                <w:i/>
                <w:sz w:val="24"/>
              </w:rPr>
            </w:pPr>
            <w:r>
              <w:rPr>
                <w:i/>
                <w:spacing w:val="-5"/>
                <w:w w:val="115"/>
                <w:sz w:val="24"/>
              </w:rPr>
              <w:t>DI</w:t>
            </w:r>
            <w:r>
              <w:rPr>
                <w:i/>
                <w:sz w:val="24"/>
              </w:rPr>
              <w:tab/>
            </w:r>
            <w:r>
              <w:rPr>
                <w:i/>
                <w:spacing w:val="-2"/>
                <w:w w:val="115"/>
                <w:sz w:val="24"/>
              </w:rPr>
              <w:t>INCARICO</w:t>
            </w:r>
            <w:r>
              <w:rPr>
                <w:i/>
                <w:sz w:val="24"/>
              </w:rPr>
              <w:tab/>
            </w:r>
            <w:r>
              <w:rPr>
                <w:i/>
                <w:spacing w:val="-5"/>
                <w:w w:val="115"/>
                <w:sz w:val="24"/>
              </w:rPr>
              <w:t>DI</w:t>
            </w:r>
            <w:r>
              <w:rPr>
                <w:i/>
                <w:sz w:val="24"/>
              </w:rPr>
              <w:tab/>
            </w:r>
            <w:r>
              <w:rPr>
                <w:i/>
                <w:spacing w:val="-2"/>
                <w:w w:val="115"/>
                <w:sz w:val="24"/>
              </w:rPr>
              <w:t>ELEVATA</w:t>
            </w:r>
            <w:r>
              <w:rPr>
                <w:i/>
                <w:sz w:val="24"/>
              </w:rPr>
              <w:tab/>
            </w:r>
            <w:r>
              <w:rPr>
                <w:i/>
                <w:spacing w:val="-2"/>
                <w:w w:val="115"/>
                <w:sz w:val="24"/>
              </w:rPr>
              <w:t>QUALIFICAZIONE,</w:t>
            </w:r>
            <w:r>
              <w:rPr>
                <w:i/>
                <w:sz w:val="24"/>
              </w:rPr>
              <w:tab/>
            </w:r>
            <w:r>
              <w:rPr>
                <w:i/>
                <w:spacing w:val="-5"/>
                <w:w w:val="115"/>
                <w:sz w:val="24"/>
              </w:rPr>
              <w:t>CON</w:t>
            </w:r>
          </w:p>
        </w:tc>
      </w:tr>
      <w:tr>
        <w:trPr>
          <w:trHeight w:val="324" w:hRule="atLeast"/>
        </w:trPr>
        <w:tc>
          <w:tcPr>
            <w:tcW w:w="1913" w:type="dxa"/>
            <w:tcBorders>
              <w:top w:val="nil"/>
            </w:tcBorders>
          </w:tcPr>
          <w:p>
            <w:pPr>
              <w:pStyle w:val="TableParagraph"/>
              <w:ind w:left="0"/>
              <w:rPr>
                <w:rFonts w:ascii="Times New Roman"/>
                <w:sz w:val="24"/>
              </w:rPr>
            </w:pPr>
          </w:p>
        </w:tc>
        <w:tc>
          <w:tcPr>
            <w:tcW w:w="7298" w:type="dxa"/>
            <w:tcBorders>
              <w:top w:val="nil"/>
            </w:tcBorders>
          </w:tcPr>
          <w:p>
            <w:pPr>
              <w:pStyle w:val="TableParagraph"/>
              <w:spacing w:line="275" w:lineRule="exact"/>
              <w:rPr>
                <w:i/>
                <w:sz w:val="24"/>
              </w:rPr>
            </w:pPr>
            <w:r>
              <w:rPr>
                <w:i/>
                <w:w w:val="110"/>
                <w:sz w:val="24"/>
              </w:rPr>
              <w:t>DECORRENZA</w:t>
            </w:r>
            <w:r>
              <w:rPr>
                <w:i/>
                <w:spacing w:val="10"/>
                <w:w w:val="110"/>
                <w:sz w:val="24"/>
              </w:rPr>
              <w:t> </w:t>
            </w:r>
            <w:r>
              <w:rPr>
                <w:i/>
                <w:w w:val="110"/>
                <w:sz w:val="24"/>
              </w:rPr>
              <w:t>DAL</w:t>
            </w:r>
            <w:r>
              <w:rPr>
                <w:i/>
                <w:spacing w:val="11"/>
                <w:w w:val="110"/>
                <w:sz w:val="24"/>
              </w:rPr>
              <w:t> </w:t>
            </w:r>
            <w:r>
              <w:rPr>
                <w:i/>
                <w:w w:val="110"/>
                <w:sz w:val="24"/>
              </w:rPr>
              <w:t>1</w:t>
            </w:r>
            <w:r>
              <w:rPr>
                <w:i/>
                <w:spacing w:val="11"/>
                <w:w w:val="110"/>
                <w:sz w:val="24"/>
              </w:rPr>
              <w:t> </w:t>
            </w:r>
            <w:r>
              <w:rPr>
                <w:i/>
                <w:w w:val="110"/>
                <w:sz w:val="24"/>
              </w:rPr>
              <w:t>LUGLIO</w:t>
            </w:r>
            <w:r>
              <w:rPr>
                <w:i/>
                <w:spacing w:val="11"/>
                <w:w w:val="110"/>
                <w:sz w:val="24"/>
              </w:rPr>
              <w:t> </w:t>
            </w:r>
            <w:r>
              <w:rPr>
                <w:i/>
                <w:w w:val="110"/>
                <w:sz w:val="24"/>
              </w:rPr>
              <w:t>2025</w:t>
            </w:r>
            <w:r>
              <w:rPr>
                <w:i/>
                <w:spacing w:val="11"/>
                <w:w w:val="110"/>
                <w:sz w:val="24"/>
              </w:rPr>
              <w:t> </w:t>
            </w:r>
            <w:r>
              <w:rPr>
                <w:i/>
                <w:w w:val="110"/>
                <w:sz w:val="24"/>
              </w:rPr>
              <w:t>-</w:t>
            </w:r>
            <w:r>
              <w:rPr>
                <w:i/>
                <w:spacing w:val="11"/>
                <w:w w:val="110"/>
                <w:sz w:val="24"/>
              </w:rPr>
              <w:t> </w:t>
            </w:r>
            <w:r>
              <w:rPr>
                <w:i/>
                <w:spacing w:val="-2"/>
                <w:w w:val="110"/>
                <w:sz w:val="24"/>
              </w:rPr>
              <w:t>RETTIFICA.</w:t>
            </w:r>
          </w:p>
        </w:tc>
      </w:tr>
    </w:tbl>
    <w:p>
      <w:pPr>
        <w:pStyle w:val="Heading1"/>
        <w:spacing w:before="273"/>
      </w:pPr>
      <w:r>
        <w:rPr/>
        <w:t>IL </w:t>
      </w:r>
      <w:r>
        <w:rPr>
          <w:spacing w:val="-2"/>
        </w:rPr>
        <w:t>SINDACO</w:t>
      </w:r>
    </w:p>
    <w:p>
      <w:pPr>
        <w:pStyle w:val="BodyText"/>
        <w:spacing w:before="290"/>
        <w:ind w:right="140"/>
      </w:pPr>
      <w:r>
        <w:rPr>
          <w:b/>
        </w:rPr>
        <w:t>VERIFICATO </w:t>
      </w:r>
      <w:r>
        <w:rPr/>
        <w:t>che il 16 novembre 2022 è stato stipulato il CCNL Funzioni Locali attualmente vigente e con esso, in particolare, al Capo II, dall’articolo 16 e successivi, è stata introdotta la disciplina degli incarichi di Elevata Qualificazione (di seguito EQ), sostitutiva dell’area delle posizioni organizzative, che contiene una nuova delimitazione degli ambiti entro i quali le amministrazioni possono dare corso alla istituzione delle posizioni di lavoro suddette, stabilendo, nello specifico:</w:t>
      </w:r>
    </w:p>
    <w:p>
      <w:pPr>
        <w:pStyle w:val="ListParagraph"/>
        <w:numPr>
          <w:ilvl w:val="0"/>
          <w:numId w:val="1"/>
        </w:numPr>
        <w:tabs>
          <w:tab w:pos="566" w:val="left" w:leader="none"/>
        </w:tabs>
        <w:spacing w:line="275" w:lineRule="exact" w:before="0" w:after="0"/>
        <w:ind w:left="566" w:right="0" w:hanging="139"/>
        <w:jc w:val="both"/>
        <w:rPr>
          <w:sz w:val="24"/>
        </w:rPr>
      </w:pPr>
      <w:r>
        <w:rPr>
          <w:sz w:val="24"/>
        </w:rPr>
        <w:t>che</w:t>
      </w:r>
      <w:r>
        <w:rPr>
          <w:spacing w:val="-3"/>
          <w:sz w:val="24"/>
        </w:rPr>
        <w:t> </w:t>
      </w:r>
      <w:r>
        <w:rPr>
          <w:sz w:val="24"/>
        </w:rPr>
        <w:t>le posizioni di</w:t>
      </w:r>
      <w:r>
        <w:rPr>
          <w:spacing w:val="-1"/>
          <w:sz w:val="24"/>
        </w:rPr>
        <w:t> </w:t>
      </w:r>
      <w:r>
        <w:rPr>
          <w:sz w:val="24"/>
        </w:rPr>
        <w:t>EQ</w:t>
      </w:r>
      <w:r>
        <w:rPr>
          <w:spacing w:val="-1"/>
          <w:sz w:val="24"/>
        </w:rPr>
        <w:t> </w:t>
      </w:r>
      <w:r>
        <w:rPr>
          <w:sz w:val="24"/>
        </w:rPr>
        <w:t>possono essere istituite</w:t>
      </w:r>
      <w:r>
        <w:rPr>
          <w:spacing w:val="-1"/>
          <w:sz w:val="24"/>
        </w:rPr>
        <w:t> </w:t>
      </w:r>
      <w:r>
        <w:rPr>
          <w:sz w:val="24"/>
        </w:rPr>
        <w:t>nelle seguenti due </w:t>
      </w:r>
      <w:r>
        <w:rPr>
          <w:spacing w:val="-2"/>
          <w:sz w:val="24"/>
        </w:rPr>
        <w:t>ipotesi:</w:t>
      </w:r>
    </w:p>
    <w:p>
      <w:pPr>
        <w:pStyle w:val="ListParagraph"/>
        <w:numPr>
          <w:ilvl w:val="0"/>
          <w:numId w:val="2"/>
        </w:numPr>
        <w:tabs>
          <w:tab w:pos="689" w:val="left" w:leader="none"/>
        </w:tabs>
        <w:spacing w:line="240" w:lineRule="auto" w:before="0" w:after="0"/>
        <w:ind w:left="143" w:right="140" w:firstLine="284"/>
        <w:jc w:val="both"/>
        <w:rPr>
          <w:sz w:val="24"/>
        </w:rPr>
      </w:pPr>
      <w:r>
        <w:rPr>
          <w:sz w:val="24"/>
        </w:rPr>
        <w:t>posizione di responsabilità di direzione di unità organizzative di particolare complessità, caratterizzate da elevato grado di autonomia gestionale e organizzativa;</w:t>
      </w:r>
    </w:p>
    <w:p>
      <w:pPr>
        <w:pStyle w:val="ListParagraph"/>
        <w:numPr>
          <w:ilvl w:val="0"/>
          <w:numId w:val="2"/>
        </w:numPr>
        <w:tabs>
          <w:tab w:pos="778" w:val="left" w:leader="none"/>
        </w:tabs>
        <w:spacing w:line="240" w:lineRule="auto" w:before="0" w:after="0"/>
        <w:ind w:left="143" w:right="141" w:firstLine="284"/>
        <w:jc w:val="both"/>
        <w:rPr>
          <w:sz w:val="24"/>
        </w:rPr>
      </w:pPr>
      <w:r>
        <w:rPr>
          <w:sz w:val="24"/>
        </w:rPr>
        <w:t>posizione di responsabilità con contenuti di alta professionalità, comprese quelle comportanti anche l’iscrizione ad albi professionali, richiedenti elevata competenza specialistica acquisita attraverso titoli formali di livello universitario del sistema educativo e</w:t>
      </w:r>
      <w:r>
        <w:rPr>
          <w:spacing w:val="40"/>
          <w:sz w:val="24"/>
        </w:rPr>
        <w:t> </w:t>
      </w:r>
      <w:r>
        <w:rPr>
          <w:sz w:val="24"/>
        </w:rPr>
        <w:t>di istruzione oppure attraverso consolidate e rilevanti esperienze lavorative in posizioni ad elevata qualificazione professionale o di responsabilità, risultanti dal curriculum.</w:t>
      </w:r>
    </w:p>
    <w:p>
      <w:pPr>
        <w:pStyle w:val="ListParagraph"/>
        <w:numPr>
          <w:ilvl w:val="0"/>
          <w:numId w:val="1"/>
        </w:numPr>
        <w:tabs>
          <w:tab w:pos="573" w:val="left" w:leader="none"/>
        </w:tabs>
        <w:spacing w:line="240" w:lineRule="auto" w:before="0" w:after="0"/>
        <w:ind w:left="143" w:right="139" w:firstLine="284"/>
        <w:jc w:val="both"/>
        <w:rPr>
          <w:sz w:val="24"/>
        </w:rPr>
      </w:pPr>
      <w:r>
        <w:rPr>
          <w:sz w:val="24"/>
        </w:rPr>
        <w:t>che tali posizioni possono essere assegnate esclusivamente ai dipendenti classificati nella nuova</w:t>
      </w:r>
      <w:r>
        <w:rPr>
          <w:spacing w:val="-2"/>
          <w:sz w:val="24"/>
        </w:rPr>
        <w:t> </w:t>
      </w:r>
      <w:r>
        <w:rPr>
          <w:sz w:val="24"/>
        </w:rPr>
        <w:t>Area</w:t>
      </w:r>
      <w:r>
        <w:rPr>
          <w:spacing w:val="-2"/>
          <w:sz w:val="24"/>
        </w:rPr>
        <w:t> </w:t>
      </w:r>
      <w:r>
        <w:rPr>
          <w:sz w:val="24"/>
        </w:rPr>
        <w:t>dei</w:t>
      </w:r>
      <w:r>
        <w:rPr>
          <w:spacing w:val="-2"/>
          <w:sz w:val="24"/>
        </w:rPr>
        <w:t> </w:t>
      </w:r>
      <w:r>
        <w:rPr>
          <w:sz w:val="24"/>
        </w:rPr>
        <w:t>Funzionari</w:t>
      </w:r>
      <w:r>
        <w:rPr>
          <w:spacing w:val="-2"/>
          <w:sz w:val="24"/>
        </w:rPr>
        <w:t> </w:t>
      </w:r>
      <w:r>
        <w:rPr>
          <w:sz w:val="24"/>
        </w:rPr>
        <w:t>e</w:t>
      </w:r>
      <w:r>
        <w:rPr>
          <w:spacing w:val="-2"/>
          <w:sz w:val="24"/>
        </w:rPr>
        <w:t> </w:t>
      </w:r>
      <w:r>
        <w:rPr>
          <w:sz w:val="24"/>
        </w:rPr>
        <w:t>dell'Elevata</w:t>
      </w:r>
      <w:r>
        <w:rPr>
          <w:spacing w:val="-2"/>
          <w:sz w:val="24"/>
        </w:rPr>
        <w:t> </w:t>
      </w:r>
      <w:r>
        <w:rPr>
          <w:sz w:val="24"/>
        </w:rPr>
        <w:t>Qualificazione</w:t>
      </w:r>
      <w:r>
        <w:rPr>
          <w:spacing w:val="-2"/>
          <w:sz w:val="24"/>
        </w:rPr>
        <w:t> </w:t>
      </w:r>
      <w:r>
        <w:rPr>
          <w:sz w:val="24"/>
        </w:rPr>
        <w:t>(ex</w:t>
      </w:r>
      <w:r>
        <w:rPr>
          <w:spacing w:val="-2"/>
          <w:sz w:val="24"/>
        </w:rPr>
        <w:t> </w:t>
      </w:r>
      <w:r>
        <w:rPr>
          <w:sz w:val="24"/>
        </w:rPr>
        <w:t>catg.D),</w:t>
      </w:r>
      <w:r>
        <w:rPr>
          <w:spacing w:val="-2"/>
          <w:sz w:val="24"/>
        </w:rPr>
        <w:t> </w:t>
      </w:r>
      <w:r>
        <w:rPr>
          <w:sz w:val="24"/>
        </w:rPr>
        <w:t>sulla</w:t>
      </w:r>
      <w:r>
        <w:rPr>
          <w:spacing w:val="-2"/>
          <w:sz w:val="24"/>
        </w:rPr>
        <w:t> </w:t>
      </w:r>
      <w:r>
        <w:rPr>
          <w:sz w:val="24"/>
        </w:rPr>
        <w:t>base</w:t>
      </w:r>
      <w:r>
        <w:rPr>
          <w:spacing w:val="-2"/>
          <w:sz w:val="24"/>
        </w:rPr>
        <w:t> </w:t>
      </w:r>
      <w:r>
        <w:rPr>
          <w:sz w:val="24"/>
        </w:rPr>
        <w:t>e</w:t>
      </w:r>
      <w:r>
        <w:rPr>
          <w:spacing w:val="-2"/>
          <w:sz w:val="24"/>
        </w:rPr>
        <w:t> </w:t>
      </w:r>
      <w:r>
        <w:rPr>
          <w:sz w:val="24"/>
        </w:rPr>
        <w:t>per</w:t>
      </w:r>
      <w:r>
        <w:rPr>
          <w:spacing w:val="-2"/>
          <w:sz w:val="24"/>
        </w:rPr>
        <w:t> </w:t>
      </w:r>
      <w:r>
        <w:rPr>
          <w:sz w:val="24"/>
        </w:rPr>
        <w:t>effetto</w:t>
      </w:r>
      <w:r>
        <w:rPr>
          <w:spacing w:val="-2"/>
          <w:sz w:val="24"/>
        </w:rPr>
        <w:t> </w:t>
      </w:r>
      <w:r>
        <w:rPr>
          <w:sz w:val="24"/>
        </w:rPr>
        <w:t>di un incarico a termine conferito in conformità all’art. 18 del CCNL del 16.11.2022 e, solo nel caso in cui siano privi di posizioni di quella specifica Area, gli enti possono attribuire le posizioni, presso i comuni, a dipendenti classificati nell'Area degli “Istruttori”;</w:t>
      </w:r>
    </w:p>
    <w:p>
      <w:pPr>
        <w:pStyle w:val="ListParagraph"/>
        <w:numPr>
          <w:ilvl w:val="0"/>
          <w:numId w:val="1"/>
        </w:numPr>
        <w:tabs>
          <w:tab w:pos="577" w:val="left" w:leader="none"/>
        </w:tabs>
        <w:spacing w:line="240" w:lineRule="auto" w:before="0" w:after="0"/>
        <w:ind w:left="143" w:right="140" w:firstLine="284"/>
        <w:jc w:val="both"/>
        <w:rPr>
          <w:sz w:val="24"/>
        </w:rPr>
      </w:pPr>
      <w:r>
        <w:rPr>
          <w:sz w:val="24"/>
        </w:rPr>
        <w:t>che nei comuni privi di personale con qualifica dirigenziale, come appunto il Comune di Ossi, i responsabili delle strutture apicali, secondo l’ordinamento organizzativo dell’ente,</w:t>
      </w:r>
      <w:r>
        <w:rPr>
          <w:spacing w:val="40"/>
          <w:sz w:val="24"/>
        </w:rPr>
        <w:t> </w:t>
      </w:r>
      <w:r>
        <w:rPr>
          <w:sz w:val="24"/>
        </w:rPr>
        <w:t>sono automaticamente individuate come posizioni di lavoro oggetto di incarichi di EQ (art.19 comma 1 del CCNL del 16.11.2022);</w:t>
      </w:r>
    </w:p>
    <w:p>
      <w:pPr>
        <w:spacing w:before="272"/>
        <w:ind w:left="143" w:right="139" w:firstLine="0"/>
        <w:jc w:val="both"/>
        <w:rPr>
          <w:i/>
          <w:sz w:val="24"/>
        </w:rPr>
      </w:pPr>
      <w:r>
        <w:rPr>
          <w:b/>
          <w:sz w:val="24"/>
        </w:rPr>
        <w:t>DATO ATTO </w:t>
      </w:r>
      <w:r>
        <w:rPr>
          <w:sz w:val="24"/>
        </w:rPr>
        <w:t>che, al fine di dare attuazione al nuovo ordinamento professionale del personale previsto dal CCNL del 16.11.2022 ed in particolare alla nuova disciplina delle EQ, con deliberazione della G.C. n.4 del 23 gennaio 2025, esecutiva a termini di legge, è stato approvato il “</w:t>
      </w:r>
      <w:r>
        <w:rPr>
          <w:b/>
          <w:i/>
          <w:sz w:val="24"/>
        </w:rPr>
        <w:t>Regolamento comunale sull’ordinamento generale degli uffici e dei servizi e per l’accesso e la gestione degli impieghi”, </w:t>
      </w:r>
      <w:r>
        <w:rPr>
          <w:sz w:val="24"/>
        </w:rPr>
        <w:t>con al suo interno, in particolare, la Parte I°, Tit. III e IV disciplinanti, rispettivamente, “</w:t>
      </w:r>
      <w:r>
        <w:rPr>
          <w:i/>
          <w:sz w:val="24"/>
        </w:rPr>
        <w:t>Criteri generali per il conferimento e revoca degli incarichi</w:t>
      </w:r>
      <w:r>
        <w:rPr>
          <w:i/>
          <w:spacing w:val="34"/>
          <w:sz w:val="24"/>
        </w:rPr>
        <w:t> </w:t>
      </w:r>
      <w:r>
        <w:rPr>
          <w:i/>
          <w:sz w:val="24"/>
        </w:rPr>
        <w:t>di</w:t>
      </w:r>
      <w:r>
        <w:rPr>
          <w:i/>
          <w:spacing w:val="37"/>
          <w:sz w:val="24"/>
        </w:rPr>
        <w:t> </w:t>
      </w:r>
      <w:r>
        <w:rPr>
          <w:i/>
          <w:sz w:val="24"/>
        </w:rPr>
        <w:t>Elevata</w:t>
      </w:r>
      <w:r>
        <w:rPr>
          <w:i/>
          <w:spacing w:val="36"/>
          <w:sz w:val="24"/>
        </w:rPr>
        <w:t> </w:t>
      </w:r>
      <w:r>
        <w:rPr>
          <w:i/>
          <w:sz w:val="24"/>
        </w:rPr>
        <w:t>Qualificazione</w:t>
      </w:r>
      <w:r>
        <w:rPr>
          <w:i/>
          <w:spacing w:val="37"/>
          <w:sz w:val="24"/>
        </w:rPr>
        <w:t> </w:t>
      </w:r>
      <w:r>
        <w:rPr>
          <w:i/>
          <w:sz w:val="24"/>
        </w:rPr>
        <w:t>e</w:t>
      </w:r>
      <w:r>
        <w:rPr>
          <w:i/>
          <w:spacing w:val="36"/>
          <w:sz w:val="24"/>
        </w:rPr>
        <w:t> </w:t>
      </w:r>
      <w:r>
        <w:rPr>
          <w:i/>
          <w:sz w:val="24"/>
        </w:rPr>
        <w:t>per</w:t>
      </w:r>
      <w:r>
        <w:rPr>
          <w:i/>
          <w:spacing w:val="36"/>
          <w:sz w:val="24"/>
        </w:rPr>
        <w:t> </w:t>
      </w:r>
      <w:r>
        <w:rPr>
          <w:i/>
          <w:sz w:val="24"/>
        </w:rPr>
        <w:t>la</w:t>
      </w:r>
      <w:r>
        <w:rPr>
          <w:i/>
          <w:spacing w:val="36"/>
          <w:sz w:val="24"/>
        </w:rPr>
        <w:t> </w:t>
      </w:r>
      <w:r>
        <w:rPr>
          <w:i/>
          <w:sz w:val="24"/>
        </w:rPr>
        <w:t>relativa</w:t>
      </w:r>
      <w:r>
        <w:rPr>
          <w:i/>
          <w:spacing w:val="37"/>
          <w:sz w:val="24"/>
        </w:rPr>
        <w:t> </w:t>
      </w:r>
      <w:r>
        <w:rPr>
          <w:i/>
          <w:sz w:val="24"/>
        </w:rPr>
        <w:t>graduazione</w:t>
      </w:r>
      <w:r>
        <w:rPr>
          <w:i/>
          <w:spacing w:val="36"/>
          <w:sz w:val="24"/>
        </w:rPr>
        <w:t> </w:t>
      </w:r>
      <w:r>
        <w:rPr>
          <w:i/>
          <w:sz w:val="24"/>
        </w:rPr>
        <w:t>ai</w:t>
      </w:r>
      <w:r>
        <w:rPr>
          <w:i/>
          <w:spacing w:val="37"/>
          <w:sz w:val="24"/>
        </w:rPr>
        <w:t> </w:t>
      </w:r>
      <w:r>
        <w:rPr>
          <w:i/>
          <w:sz w:val="24"/>
        </w:rPr>
        <w:t>fini</w:t>
      </w:r>
      <w:r>
        <w:rPr>
          <w:i/>
          <w:spacing w:val="36"/>
          <w:sz w:val="24"/>
        </w:rPr>
        <w:t> </w:t>
      </w:r>
      <w:r>
        <w:rPr>
          <w:i/>
          <w:sz w:val="24"/>
        </w:rPr>
        <w:t>della</w:t>
      </w:r>
      <w:r>
        <w:rPr>
          <w:i/>
          <w:spacing w:val="37"/>
          <w:sz w:val="24"/>
        </w:rPr>
        <w:t> </w:t>
      </w:r>
      <w:r>
        <w:rPr>
          <w:i/>
          <w:spacing w:val="-2"/>
          <w:sz w:val="24"/>
        </w:rPr>
        <w:t>attribuzione</w:t>
      </w:r>
    </w:p>
    <w:p>
      <w:pPr>
        <w:spacing w:after="0"/>
        <w:jc w:val="both"/>
        <w:rPr>
          <w:i/>
          <w:sz w:val="24"/>
        </w:rPr>
        <w:sectPr>
          <w:type w:val="continuous"/>
          <w:pgSz w:w="11910" w:h="16840"/>
          <w:pgMar w:top="780" w:bottom="280" w:left="1275" w:right="1275"/>
        </w:sectPr>
      </w:pPr>
    </w:p>
    <w:p>
      <w:pPr>
        <w:spacing w:before="71"/>
        <w:ind w:left="143" w:right="140" w:firstLine="0"/>
        <w:jc w:val="both"/>
        <w:rPr>
          <w:sz w:val="24"/>
        </w:rPr>
      </w:pPr>
      <w:r>
        <w:rPr>
          <w:i/>
          <w:sz w:val="24"/>
        </w:rPr>
        <w:t>dell’indennità di posizione e di risultato</w:t>
      </w:r>
      <w:r>
        <w:rPr>
          <w:sz w:val="24"/>
        </w:rPr>
        <w:t>” e la “</w:t>
      </w:r>
      <w:r>
        <w:rPr>
          <w:i/>
          <w:sz w:val="24"/>
        </w:rPr>
        <w:t>Metodologia di misurazione e valutazione</w:t>
      </w:r>
      <w:r>
        <w:rPr>
          <w:i/>
          <w:spacing w:val="40"/>
          <w:sz w:val="24"/>
        </w:rPr>
        <w:t> </w:t>
      </w:r>
      <w:r>
        <w:rPr>
          <w:i/>
          <w:sz w:val="24"/>
        </w:rPr>
        <w:t>della performance</w:t>
      </w:r>
      <w:r>
        <w:rPr>
          <w:sz w:val="24"/>
        </w:rPr>
        <w:t>”;</w:t>
      </w:r>
    </w:p>
    <w:p>
      <w:pPr>
        <w:pStyle w:val="BodyText"/>
        <w:spacing w:before="275"/>
        <w:ind w:right="139"/>
      </w:pPr>
      <w:r>
        <w:rPr>
          <w:b/>
        </w:rPr>
        <w:t>ACCERTATO </w:t>
      </w:r>
      <w:r>
        <w:rPr/>
        <w:t>che il Comune di Ossi(SS), con deliberazione G.C.n.5 del 23.1.2025, esecutiva,</w:t>
      </w:r>
      <w:r>
        <w:rPr>
          <w:spacing w:val="29"/>
        </w:rPr>
        <w:t> </w:t>
      </w:r>
      <w:r>
        <w:rPr/>
        <w:t>ha</w:t>
      </w:r>
      <w:r>
        <w:rPr>
          <w:spacing w:val="31"/>
        </w:rPr>
        <w:t> </w:t>
      </w:r>
      <w:r>
        <w:rPr/>
        <w:t>approvato</w:t>
      </w:r>
      <w:r>
        <w:rPr>
          <w:spacing w:val="29"/>
        </w:rPr>
        <w:t> </w:t>
      </w:r>
      <w:r>
        <w:rPr/>
        <w:t>la</w:t>
      </w:r>
      <w:r>
        <w:rPr>
          <w:spacing w:val="31"/>
        </w:rPr>
        <w:t> </w:t>
      </w:r>
      <w:r>
        <w:rPr/>
        <w:t>nuova</w:t>
      </w:r>
      <w:r>
        <w:rPr>
          <w:spacing w:val="29"/>
        </w:rPr>
        <w:t> </w:t>
      </w:r>
      <w:r>
        <w:rPr/>
        <w:t>struttura</w:t>
      </w:r>
      <w:r>
        <w:rPr>
          <w:spacing w:val="31"/>
        </w:rPr>
        <w:t> </w:t>
      </w:r>
      <w:r>
        <w:rPr/>
        <w:t>organizzativa</w:t>
      </w:r>
      <w:r>
        <w:rPr>
          <w:spacing w:val="30"/>
        </w:rPr>
        <w:t> </w:t>
      </w:r>
      <w:r>
        <w:rPr/>
        <w:t>del</w:t>
      </w:r>
      <w:r>
        <w:rPr>
          <w:spacing w:val="31"/>
        </w:rPr>
        <w:t> </w:t>
      </w:r>
      <w:r>
        <w:rPr/>
        <w:t>Comune</w:t>
      </w:r>
      <w:r>
        <w:rPr>
          <w:spacing w:val="29"/>
        </w:rPr>
        <w:t> </w:t>
      </w:r>
      <w:r>
        <w:rPr/>
        <w:t>articolata</w:t>
      </w:r>
      <w:r>
        <w:rPr>
          <w:spacing w:val="31"/>
        </w:rPr>
        <w:t> </w:t>
      </w:r>
      <w:r>
        <w:rPr/>
        <w:t>sui</w:t>
      </w:r>
      <w:r>
        <w:rPr>
          <w:spacing w:val="30"/>
        </w:rPr>
        <w:t> </w:t>
      </w:r>
      <w:r>
        <w:rPr>
          <w:spacing w:val="-2"/>
        </w:rPr>
        <w:t>seguenti</w:t>
      </w:r>
    </w:p>
    <w:p>
      <w:pPr>
        <w:pStyle w:val="BodyText"/>
        <w:ind w:right="140"/>
      </w:pPr>
      <w:r>
        <w:rPr/>
        <w:t>n.4 settori e che inoltre, in applicazione della norma del CCNL prima citata e delle previsioni regolamentari predette(Art.38), con deliberazione della G. C. n.21 del 6.2.2025, dichiarata immediatamente eseguibile, ha confermato l’istituzione di n.4 posizioni di Elevata Qualificazione(EQ) corrispondenti alla tipologia prevista dall'art.16, comma 2, lett. a) del CCNL ed alle strutture organizzative di massima dimensione dell'ente, appunto n.4 settori, come di seguito individuati:</w:t>
      </w:r>
    </w:p>
    <w:p>
      <w:pPr>
        <w:pStyle w:val="ListParagraph"/>
        <w:numPr>
          <w:ilvl w:val="0"/>
          <w:numId w:val="1"/>
        </w:numPr>
        <w:tabs>
          <w:tab w:pos="566" w:val="left" w:leader="none"/>
        </w:tabs>
        <w:spacing w:line="275" w:lineRule="exact" w:before="0" w:after="0"/>
        <w:ind w:left="566" w:right="0" w:hanging="139"/>
        <w:jc w:val="left"/>
        <w:rPr>
          <w:i/>
          <w:sz w:val="24"/>
        </w:rPr>
      </w:pPr>
      <w:r>
        <w:rPr>
          <w:i/>
          <w:sz w:val="24"/>
        </w:rPr>
        <w:t>Settore</w:t>
      </w:r>
      <w:r>
        <w:rPr>
          <w:i/>
          <w:spacing w:val="-3"/>
          <w:sz w:val="24"/>
        </w:rPr>
        <w:t> </w:t>
      </w:r>
      <w:r>
        <w:rPr>
          <w:i/>
          <w:sz w:val="24"/>
        </w:rPr>
        <w:t>I° -Finanziario,</w:t>
      </w:r>
      <w:r>
        <w:rPr>
          <w:i/>
          <w:spacing w:val="-1"/>
          <w:sz w:val="24"/>
        </w:rPr>
        <w:t> </w:t>
      </w:r>
      <w:r>
        <w:rPr>
          <w:i/>
          <w:sz w:val="24"/>
        </w:rPr>
        <w:t>Tributi, Personale, Segreteria</w:t>
      </w:r>
      <w:r>
        <w:rPr>
          <w:i/>
          <w:spacing w:val="-1"/>
          <w:sz w:val="24"/>
        </w:rPr>
        <w:t> </w:t>
      </w:r>
      <w:r>
        <w:rPr>
          <w:i/>
          <w:sz w:val="24"/>
        </w:rPr>
        <w:t>e Sistemi </w:t>
      </w:r>
      <w:r>
        <w:rPr>
          <w:i/>
          <w:spacing w:val="-2"/>
          <w:sz w:val="24"/>
        </w:rPr>
        <w:t>Informatici;</w:t>
      </w:r>
    </w:p>
    <w:p>
      <w:pPr>
        <w:pStyle w:val="ListParagraph"/>
        <w:numPr>
          <w:ilvl w:val="0"/>
          <w:numId w:val="1"/>
        </w:numPr>
        <w:tabs>
          <w:tab w:pos="566" w:val="left" w:leader="none"/>
        </w:tabs>
        <w:spacing w:line="276" w:lineRule="exact" w:before="0" w:after="0"/>
        <w:ind w:left="566" w:right="0" w:hanging="139"/>
        <w:jc w:val="left"/>
        <w:rPr>
          <w:i/>
          <w:sz w:val="24"/>
        </w:rPr>
      </w:pPr>
      <w:r>
        <w:rPr>
          <w:i/>
          <w:sz w:val="24"/>
        </w:rPr>
        <w:t>Settore</w:t>
      </w:r>
      <w:r>
        <w:rPr>
          <w:i/>
          <w:spacing w:val="-1"/>
          <w:sz w:val="24"/>
        </w:rPr>
        <w:t> </w:t>
      </w:r>
      <w:r>
        <w:rPr>
          <w:i/>
          <w:sz w:val="24"/>
        </w:rPr>
        <w:t>II° - Socio Assistenziale, Scolastico, Culturale e </w:t>
      </w:r>
      <w:r>
        <w:rPr>
          <w:i/>
          <w:spacing w:val="-2"/>
          <w:sz w:val="24"/>
        </w:rPr>
        <w:t>Sport;</w:t>
      </w:r>
    </w:p>
    <w:p>
      <w:pPr>
        <w:pStyle w:val="ListParagraph"/>
        <w:numPr>
          <w:ilvl w:val="0"/>
          <w:numId w:val="1"/>
        </w:numPr>
        <w:tabs>
          <w:tab w:pos="566" w:val="left" w:leader="none"/>
        </w:tabs>
        <w:spacing w:line="276" w:lineRule="exact" w:before="0" w:after="0"/>
        <w:ind w:left="566" w:right="0" w:hanging="139"/>
        <w:jc w:val="left"/>
        <w:rPr>
          <w:i/>
          <w:sz w:val="24"/>
        </w:rPr>
      </w:pPr>
      <w:r>
        <w:rPr>
          <w:i/>
          <w:sz w:val="24"/>
        </w:rPr>
        <w:t>Settore</w:t>
      </w:r>
      <w:r>
        <w:rPr>
          <w:i/>
          <w:spacing w:val="-1"/>
          <w:sz w:val="24"/>
        </w:rPr>
        <w:t> </w:t>
      </w:r>
      <w:r>
        <w:rPr>
          <w:i/>
          <w:sz w:val="24"/>
        </w:rPr>
        <w:t>III° -</w:t>
      </w:r>
      <w:r>
        <w:rPr>
          <w:i/>
          <w:spacing w:val="-1"/>
          <w:sz w:val="24"/>
        </w:rPr>
        <w:t> </w:t>
      </w:r>
      <w:r>
        <w:rPr>
          <w:i/>
          <w:sz w:val="24"/>
        </w:rPr>
        <w:t>Polizia Locale, Demografico</w:t>
      </w:r>
      <w:r>
        <w:rPr>
          <w:i/>
          <w:spacing w:val="-1"/>
          <w:sz w:val="24"/>
        </w:rPr>
        <w:t> </w:t>
      </w:r>
      <w:r>
        <w:rPr>
          <w:i/>
          <w:sz w:val="24"/>
        </w:rPr>
        <w:t>e Attività </w:t>
      </w:r>
      <w:r>
        <w:rPr>
          <w:i/>
          <w:spacing w:val="-2"/>
          <w:sz w:val="24"/>
        </w:rPr>
        <w:t>Produttive;</w:t>
      </w:r>
    </w:p>
    <w:p>
      <w:pPr>
        <w:pStyle w:val="ListParagraph"/>
        <w:numPr>
          <w:ilvl w:val="0"/>
          <w:numId w:val="1"/>
        </w:numPr>
        <w:tabs>
          <w:tab w:pos="566" w:val="left" w:leader="none"/>
        </w:tabs>
        <w:spacing w:line="240" w:lineRule="auto" w:before="0" w:after="0"/>
        <w:ind w:left="566" w:right="0" w:hanging="139"/>
        <w:jc w:val="left"/>
        <w:rPr>
          <w:i/>
          <w:sz w:val="24"/>
        </w:rPr>
      </w:pPr>
      <w:r>
        <w:rPr>
          <w:i/>
          <w:sz w:val="24"/>
        </w:rPr>
        <w:t>Settore</w:t>
      </w:r>
      <w:r>
        <w:rPr>
          <w:i/>
          <w:spacing w:val="-1"/>
          <w:sz w:val="24"/>
        </w:rPr>
        <w:t> </w:t>
      </w:r>
      <w:r>
        <w:rPr>
          <w:i/>
          <w:sz w:val="24"/>
        </w:rPr>
        <w:t>IV° - Tecnico-Manutentivo,</w:t>
      </w:r>
      <w:r>
        <w:rPr>
          <w:i/>
          <w:spacing w:val="-1"/>
          <w:sz w:val="24"/>
        </w:rPr>
        <w:t> </w:t>
      </w:r>
      <w:r>
        <w:rPr>
          <w:i/>
          <w:sz w:val="24"/>
        </w:rPr>
        <w:t>Edilizia e </w:t>
      </w:r>
      <w:r>
        <w:rPr>
          <w:i/>
          <w:spacing w:val="-2"/>
          <w:sz w:val="24"/>
        </w:rPr>
        <w:t>Urbanistica;</w:t>
      </w:r>
    </w:p>
    <w:p>
      <w:pPr>
        <w:pStyle w:val="BodyText"/>
        <w:spacing w:before="275"/>
        <w:ind w:right="139"/>
      </w:pPr>
      <w:r>
        <w:rPr>
          <w:b/>
          <w:u w:val="single"/>
        </w:rPr>
        <w:t>CONSIDERATO</w:t>
      </w:r>
      <w:r>
        <w:rPr>
          <w:b/>
        </w:rPr>
        <w:t> </w:t>
      </w:r>
      <w:r>
        <w:rPr/>
        <w:t>che, con l’attuazione delle previsioni contenute nel PIAO 2025-2027, approvato con deliberazione G.C.n.61 del 24 aprile 2025, esecutiva, l’ente si è dotato di dipendenti dotati di adeguata professionalità che hanno consentito di superare la situazione di gestione “ad interim” dei Settori II° e III°, come prima definiti, e che con precedente Decreto sindacale n.5 del 26 giugno 2025 sono stati conferiti gli incarichi di Elevata qualificazione presso il ns Comune con decorrenza dal 1 luglio 2025 e fino al 31 Dicembre 2025, ai seguenti </w:t>
      </w:r>
      <w:r>
        <w:rPr>
          <w:spacing w:val="-2"/>
        </w:rPr>
        <w:t>dipendenti:</w:t>
      </w:r>
    </w:p>
    <w:p>
      <w:pPr>
        <w:pStyle w:val="ListParagraph"/>
        <w:numPr>
          <w:ilvl w:val="0"/>
          <w:numId w:val="3"/>
        </w:numPr>
        <w:tabs>
          <w:tab w:pos="863" w:val="left" w:leader="none"/>
        </w:tabs>
        <w:spacing w:line="240" w:lineRule="auto" w:before="0" w:after="0"/>
        <w:ind w:left="863" w:right="139" w:hanging="360"/>
        <w:jc w:val="both"/>
        <w:rPr>
          <w:sz w:val="24"/>
        </w:rPr>
      </w:pPr>
      <w:r>
        <w:rPr>
          <w:b/>
          <w:i/>
          <w:sz w:val="24"/>
        </w:rPr>
        <w:t>Dott.ssa Antonia Marmillata</w:t>
      </w:r>
      <w:r>
        <w:rPr>
          <w:sz w:val="24"/>
        </w:rPr>
        <w:t>, dipendente comunale inquadrata nell’Area dei Funzionari ed Elevata Qualificazione, Responsabile del </w:t>
      </w:r>
      <w:r>
        <w:rPr>
          <w:b/>
          <w:i/>
          <w:sz w:val="24"/>
        </w:rPr>
        <w:t>Settore I° - Finanziario, Tributi, Personale, Segreteria e Sistemi Informatici - </w:t>
      </w:r>
      <w:r>
        <w:rPr>
          <w:sz w:val="24"/>
        </w:rPr>
        <w:t>Titolare di incarico di Elevata </w:t>
      </w:r>
      <w:r>
        <w:rPr>
          <w:spacing w:val="-2"/>
          <w:sz w:val="24"/>
        </w:rPr>
        <w:t>Qualificazione</w:t>
      </w:r>
    </w:p>
    <w:p>
      <w:pPr>
        <w:pStyle w:val="ListParagraph"/>
        <w:numPr>
          <w:ilvl w:val="0"/>
          <w:numId w:val="3"/>
        </w:numPr>
        <w:tabs>
          <w:tab w:pos="863" w:val="left" w:leader="none"/>
        </w:tabs>
        <w:spacing w:line="240" w:lineRule="auto" w:before="0" w:after="0"/>
        <w:ind w:left="863" w:right="140" w:hanging="360"/>
        <w:jc w:val="both"/>
        <w:rPr>
          <w:sz w:val="24"/>
        </w:rPr>
      </w:pPr>
      <w:r>
        <w:rPr>
          <w:b/>
          <w:i/>
          <w:sz w:val="24"/>
        </w:rPr>
        <w:t>Geom. Manuela Masia</w:t>
      </w:r>
      <w:r>
        <w:rPr>
          <w:sz w:val="24"/>
        </w:rPr>
        <w:t>, dipendente comunale inquadrata nell’Area dei Funzionari ed Elevata Qualificazione, Responsabile del </w:t>
      </w:r>
      <w:r>
        <w:rPr>
          <w:b/>
          <w:i/>
          <w:sz w:val="24"/>
        </w:rPr>
        <w:t>Settore II° - Socio-assistenziale, Scolastico, Culturale e Sport - </w:t>
      </w:r>
      <w:r>
        <w:rPr>
          <w:sz w:val="24"/>
        </w:rPr>
        <w:t>Titolare di incarico di Elevata Qualificazione;</w:t>
      </w:r>
    </w:p>
    <w:p>
      <w:pPr>
        <w:pStyle w:val="ListParagraph"/>
        <w:numPr>
          <w:ilvl w:val="0"/>
          <w:numId w:val="3"/>
        </w:numPr>
        <w:tabs>
          <w:tab w:pos="863" w:val="left" w:leader="none"/>
        </w:tabs>
        <w:spacing w:line="240" w:lineRule="auto" w:before="0" w:after="0"/>
        <w:ind w:left="863" w:right="139" w:hanging="360"/>
        <w:jc w:val="both"/>
        <w:rPr>
          <w:sz w:val="24"/>
        </w:rPr>
      </w:pPr>
      <w:r>
        <w:rPr>
          <w:b/>
          <w:i/>
          <w:sz w:val="24"/>
        </w:rPr>
        <w:t>Dott.ssa Maria Luisa Masala</w:t>
      </w:r>
      <w:r>
        <w:rPr>
          <w:sz w:val="24"/>
        </w:rPr>
        <w:t>, dipendente comunale ex art.23 CCNL FL del 16.11.2022, inquadrato nell’Area dei Funzionari ed Elevata Qualificazione, Responsabile del </w:t>
      </w:r>
      <w:r>
        <w:rPr>
          <w:b/>
          <w:sz w:val="24"/>
        </w:rPr>
        <w:t>Settore III° - Polizia Locale, Demografico e Attività Produttive - </w:t>
      </w:r>
      <w:r>
        <w:rPr>
          <w:sz w:val="24"/>
        </w:rPr>
        <w:t>Titolare di incarico di Elevata Qualificazione</w:t>
      </w:r>
    </w:p>
    <w:p>
      <w:pPr>
        <w:pStyle w:val="ListParagraph"/>
        <w:numPr>
          <w:ilvl w:val="0"/>
          <w:numId w:val="3"/>
        </w:numPr>
        <w:tabs>
          <w:tab w:pos="863" w:val="left" w:leader="none"/>
        </w:tabs>
        <w:spacing w:line="240" w:lineRule="auto" w:before="0" w:after="0"/>
        <w:ind w:left="863" w:right="139" w:hanging="360"/>
        <w:jc w:val="both"/>
        <w:rPr>
          <w:sz w:val="24"/>
        </w:rPr>
      </w:pPr>
      <w:r>
        <w:rPr>
          <w:b/>
          <w:i/>
          <w:sz w:val="24"/>
        </w:rPr>
        <w:t>Ing. Giovanni Pietro Pischedda</w:t>
      </w:r>
      <w:r>
        <w:rPr>
          <w:sz w:val="24"/>
        </w:rPr>
        <w:t>, dipendente comunale ex art.110 TUEL inquadrato nell’Area dei Funzionari ed Elevata Qualificazione, Responsabile del </w:t>
      </w:r>
      <w:r>
        <w:rPr>
          <w:b/>
          <w:i/>
          <w:sz w:val="24"/>
        </w:rPr>
        <w:t>Settore IV° - Tecnico-Manutentivo, Edilizia ed Urbanistica - </w:t>
      </w:r>
      <w:r>
        <w:rPr>
          <w:sz w:val="24"/>
        </w:rPr>
        <w:t>Titolare di incarico di Elevata </w:t>
      </w:r>
      <w:r>
        <w:rPr>
          <w:spacing w:val="-2"/>
          <w:sz w:val="24"/>
        </w:rPr>
        <w:t>Qualificazione;</w:t>
      </w:r>
    </w:p>
    <w:p>
      <w:pPr>
        <w:pStyle w:val="BodyText"/>
        <w:spacing w:before="271"/>
        <w:ind w:right="140"/>
        <w:rPr>
          <w:i/>
        </w:rPr>
      </w:pPr>
      <w:r>
        <w:rPr>
          <w:b/>
          <w:u w:val="single"/>
        </w:rPr>
        <w:t>DATO ATTO</w:t>
      </w:r>
      <w:r>
        <w:rPr>
          <w:b/>
        </w:rPr>
        <w:t> </w:t>
      </w:r>
      <w:r>
        <w:rPr/>
        <w:t>che il Comune di Ossi, ai fini di quanto precede, ha stipulato convenzione, ai sensi dell’art.23 del CCNL Funzioni Locali del 16 novembre 2022 con il Comune di Sorso finalizzato all’utilizzo congiunto, a tempo parziale e</w:t>
      </w:r>
      <w:r>
        <w:rPr>
          <w:spacing w:val="40"/>
        </w:rPr>
        <w:t> </w:t>
      </w:r>
      <w:r>
        <w:rPr/>
        <w:t>per n.18 ore settimanali per ciascun Comune, di una unità di personale di quest’ultimo ente, profilo professionale di </w:t>
      </w:r>
      <w:r>
        <w:rPr/>
        <w:t>Funzionario</w:t>
      </w:r>
      <w:r>
        <w:rPr>
          <w:spacing w:val="40"/>
        </w:rPr>
        <w:t> </w:t>
      </w:r>
      <w:r>
        <w:rPr/>
        <w:t>di Polizia locale, Dr.ssa Maria Luisa Masala, alla quale il sottoscritto, in ragione della specifica esperienza</w:t>
      </w:r>
      <w:r>
        <w:rPr>
          <w:spacing w:val="40"/>
        </w:rPr>
        <w:t> </w:t>
      </w:r>
      <w:r>
        <w:rPr/>
        <w:t>maturata dalla dipendente, ha conferito l’incarico di Comandante della Polizia Locale e di Responsabile del Settore III° - Polizia Locale, Demografico e Attività </w:t>
      </w:r>
      <w:r>
        <w:rPr>
          <w:spacing w:val="-2"/>
        </w:rPr>
        <w:t>Produttive</w:t>
      </w:r>
      <w:r>
        <w:rPr>
          <w:i/>
          <w:spacing w:val="-2"/>
        </w:rPr>
        <w:t>;</w:t>
      </w:r>
    </w:p>
    <w:p>
      <w:pPr>
        <w:pStyle w:val="BodyText"/>
        <w:spacing w:before="274"/>
        <w:ind w:right="139"/>
      </w:pPr>
      <w:r>
        <w:rPr>
          <w:b/>
          <w:u w:val="single"/>
        </w:rPr>
        <w:t>VISTO</w:t>
      </w:r>
      <w:r>
        <w:rPr>
          <w:b/>
        </w:rPr>
        <w:t> </w:t>
      </w:r>
      <w:r>
        <w:rPr/>
        <w:t>lo stesso art.23 del CCNL Funzioni Locali del 16.11.2022 con il quale si prevede la possibilità di conferimento di incarico di EQ anche al personale utilizzato a tempo parziale secondo quanto di seguito precisato e specificato:</w:t>
      </w:r>
    </w:p>
    <w:p>
      <w:pPr>
        <w:pStyle w:val="BodyText"/>
        <w:spacing w:after="0"/>
        <w:sectPr>
          <w:footerReference w:type="default" r:id="rId6"/>
          <w:pgSz w:w="11910" w:h="16840"/>
          <w:pgMar w:header="0" w:footer="872" w:top="780" w:bottom="1060" w:left="1275" w:right="1275"/>
          <w:pgNumType w:start="2"/>
        </w:sectPr>
      </w:pPr>
    </w:p>
    <w:p>
      <w:pPr>
        <w:pStyle w:val="ListParagraph"/>
        <w:numPr>
          <w:ilvl w:val="0"/>
          <w:numId w:val="4"/>
        </w:numPr>
        <w:tabs>
          <w:tab w:pos="297" w:val="left" w:leader="none"/>
        </w:tabs>
        <w:spacing w:line="240" w:lineRule="auto" w:before="71" w:after="0"/>
        <w:ind w:left="143" w:right="140" w:firstLine="0"/>
        <w:jc w:val="both"/>
        <w:rPr>
          <w:i/>
          <w:sz w:val="24"/>
        </w:rPr>
      </w:pPr>
      <w:r>
        <w:rPr>
          <w:i/>
          <w:sz w:val="24"/>
        </w:rPr>
        <w:t>l’ente di provenienza continua a corrispondere, con onere a proprio carico, le retribuzioni di posizione e di risultato secondo i criteri nello stesso stabiliti; nella rideterminazione dei relativi valori dovrà comunque tenersi conto della intervenuta riduzione della prestazione </w:t>
      </w:r>
      <w:r>
        <w:rPr>
          <w:i/>
          <w:spacing w:val="-2"/>
          <w:sz w:val="24"/>
        </w:rPr>
        <w:t>lavorativa;</w:t>
      </w:r>
    </w:p>
    <w:p>
      <w:pPr>
        <w:pStyle w:val="ListParagraph"/>
        <w:numPr>
          <w:ilvl w:val="0"/>
          <w:numId w:val="4"/>
        </w:numPr>
        <w:tabs>
          <w:tab w:pos="324" w:val="left" w:leader="none"/>
        </w:tabs>
        <w:spacing w:line="240" w:lineRule="auto" w:before="0" w:after="0"/>
        <w:ind w:left="143" w:right="140" w:firstLine="0"/>
        <w:jc w:val="both"/>
        <w:rPr>
          <w:i/>
          <w:sz w:val="24"/>
        </w:rPr>
      </w:pPr>
      <w:r>
        <w:rPr>
          <w:i/>
          <w:sz w:val="24"/>
        </w:rPr>
        <w:t>l’ente, l’Unione o il servizio in convenzione presso il quale è stato disposto l’utilizzo a tempo parziale corrispondono, con onere a proprio carico, le retribuzioni di posizione e di risultato</w:t>
      </w:r>
      <w:r>
        <w:rPr>
          <w:i/>
          <w:spacing w:val="-3"/>
          <w:sz w:val="24"/>
        </w:rPr>
        <w:t> </w:t>
      </w:r>
      <w:r>
        <w:rPr>
          <w:i/>
          <w:sz w:val="24"/>
        </w:rPr>
        <w:t>in</w:t>
      </w:r>
      <w:r>
        <w:rPr>
          <w:i/>
          <w:spacing w:val="-3"/>
          <w:sz w:val="24"/>
        </w:rPr>
        <w:t> </w:t>
      </w:r>
      <w:r>
        <w:rPr>
          <w:i/>
          <w:sz w:val="24"/>
        </w:rPr>
        <w:t>base</w:t>
      </w:r>
      <w:r>
        <w:rPr>
          <w:i/>
          <w:spacing w:val="-3"/>
          <w:sz w:val="24"/>
        </w:rPr>
        <w:t> </w:t>
      </w:r>
      <w:r>
        <w:rPr>
          <w:i/>
          <w:sz w:val="24"/>
        </w:rPr>
        <w:t>ai</w:t>
      </w:r>
      <w:r>
        <w:rPr>
          <w:i/>
          <w:spacing w:val="-3"/>
          <w:sz w:val="24"/>
        </w:rPr>
        <w:t> </w:t>
      </w:r>
      <w:r>
        <w:rPr>
          <w:i/>
          <w:sz w:val="24"/>
        </w:rPr>
        <w:t>criteri</w:t>
      </w:r>
      <w:r>
        <w:rPr>
          <w:i/>
          <w:spacing w:val="-3"/>
          <w:sz w:val="24"/>
        </w:rPr>
        <w:t> </w:t>
      </w:r>
      <w:r>
        <w:rPr>
          <w:i/>
          <w:sz w:val="24"/>
        </w:rPr>
        <w:t>dagli</w:t>
      </w:r>
      <w:r>
        <w:rPr>
          <w:i/>
          <w:spacing w:val="-3"/>
          <w:sz w:val="24"/>
        </w:rPr>
        <w:t> </w:t>
      </w:r>
      <w:r>
        <w:rPr>
          <w:i/>
          <w:sz w:val="24"/>
        </w:rPr>
        <w:t>stessi</w:t>
      </w:r>
      <w:r>
        <w:rPr>
          <w:i/>
          <w:spacing w:val="-3"/>
          <w:sz w:val="24"/>
        </w:rPr>
        <w:t> </w:t>
      </w:r>
      <w:r>
        <w:rPr>
          <w:i/>
          <w:sz w:val="24"/>
        </w:rPr>
        <w:t>stabiliti,</w:t>
      </w:r>
      <w:r>
        <w:rPr>
          <w:i/>
          <w:spacing w:val="-3"/>
          <w:sz w:val="24"/>
        </w:rPr>
        <w:t> </w:t>
      </w:r>
      <w:r>
        <w:rPr>
          <w:i/>
          <w:sz w:val="24"/>
        </w:rPr>
        <w:t>tenendo</w:t>
      </w:r>
      <w:r>
        <w:rPr>
          <w:i/>
          <w:spacing w:val="-3"/>
          <w:sz w:val="24"/>
        </w:rPr>
        <w:t> </w:t>
      </w:r>
      <w:r>
        <w:rPr>
          <w:i/>
          <w:sz w:val="24"/>
        </w:rPr>
        <w:t>conto</w:t>
      </w:r>
      <w:r>
        <w:rPr>
          <w:i/>
          <w:spacing w:val="-3"/>
          <w:sz w:val="24"/>
        </w:rPr>
        <w:t> </w:t>
      </w:r>
      <w:r>
        <w:rPr>
          <w:i/>
          <w:sz w:val="24"/>
        </w:rPr>
        <w:t>della</w:t>
      </w:r>
      <w:r>
        <w:rPr>
          <w:i/>
          <w:spacing w:val="-3"/>
          <w:sz w:val="24"/>
        </w:rPr>
        <w:t> </w:t>
      </w:r>
      <w:r>
        <w:rPr>
          <w:i/>
          <w:sz w:val="24"/>
        </w:rPr>
        <w:t>intervenuta</w:t>
      </w:r>
      <w:r>
        <w:rPr>
          <w:i/>
          <w:spacing w:val="-3"/>
          <w:sz w:val="24"/>
        </w:rPr>
        <w:t> </w:t>
      </w:r>
      <w:r>
        <w:rPr>
          <w:i/>
          <w:sz w:val="24"/>
        </w:rPr>
        <w:t>riduzione</w:t>
      </w:r>
      <w:r>
        <w:rPr>
          <w:i/>
          <w:spacing w:val="-3"/>
          <w:sz w:val="24"/>
        </w:rPr>
        <w:t> </w:t>
      </w:r>
      <w:r>
        <w:rPr>
          <w:i/>
          <w:sz w:val="24"/>
        </w:rPr>
        <w:t>della prestazione lavorativa;</w:t>
      </w:r>
    </w:p>
    <w:p>
      <w:pPr>
        <w:pStyle w:val="ListParagraph"/>
        <w:numPr>
          <w:ilvl w:val="0"/>
          <w:numId w:val="4"/>
        </w:numPr>
        <w:tabs>
          <w:tab w:pos="327" w:val="left" w:leader="none"/>
        </w:tabs>
        <w:spacing w:line="240" w:lineRule="auto" w:before="0" w:after="0"/>
        <w:ind w:left="143" w:right="139" w:firstLine="0"/>
        <w:jc w:val="both"/>
        <w:rPr>
          <w:i/>
          <w:sz w:val="24"/>
        </w:rPr>
      </w:pPr>
      <w:r>
        <w:rPr>
          <w:i/>
          <w:sz w:val="24"/>
        </w:rPr>
        <w:t>al fine di compensare la maggiore gravosità della prestazione svolta in diverse sedi di lavoro, l’ente utilizzatore può, altresì, corrispondere una maggiorazione della retribuzione di posizione attribuita, di importo non superiore al 30% della stessa, anche in eccedenza al limite complessivo di cui all’art. 17, comma 2;</w:t>
      </w:r>
    </w:p>
    <w:p>
      <w:pPr>
        <w:pStyle w:val="BodyText"/>
        <w:spacing w:before="273"/>
        <w:ind w:right="139"/>
      </w:pPr>
      <w:r>
        <w:rPr>
          <w:b/>
        </w:rPr>
        <w:t>CONSIDERATO </w:t>
      </w:r>
      <w:r>
        <w:rPr/>
        <w:t>che il sottoscritto, avvalendosi della facoltà prevista dal citato art.23, con riferimento all’incarico di responsabile del settore, titolare di EQ del Settore III°, conferito al funzionario assunto ai sensi dell’art.23 del CCNL FL del 16.11.2022, ha riconosciuto, in aggiunta alla rigida parametrazione in base all’orario di lavoro, la maggiorazione del 30% del valore economico dell’indennità di posizione di EQ corrispondente e inoltre, tenuto conto della complessità e dell’impegno richiesto dal ruolo, la misura intera della retribuzione di risultato, comunque da subordinare agli esiti della valutazione di performance annuale del </w:t>
      </w:r>
      <w:r>
        <w:rPr>
          <w:spacing w:val="-2"/>
        </w:rPr>
        <w:t>funzionario;</w:t>
      </w:r>
    </w:p>
    <w:p>
      <w:pPr>
        <w:spacing w:before="274"/>
        <w:ind w:left="143" w:right="140" w:firstLine="0"/>
        <w:jc w:val="both"/>
        <w:rPr>
          <w:sz w:val="24"/>
        </w:rPr>
      </w:pPr>
      <w:r>
        <w:rPr>
          <w:b/>
          <w:sz w:val="24"/>
        </w:rPr>
        <w:t>DATO ATTO </w:t>
      </w:r>
      <w:r>
        <w:rPr>
          <w:sz w:val="24"/>
        </w:rPr>
        <w:t>che l’ARAN, con un recentissimo parere del 9 luglio u.s., con riferimento specifico alla possibilità della maggiorazione predetta, ha chiarito che questa può essere riconosciuta “</w:t>
      </w:r>
      <w:r>
        <w:rPr>
          <w:i/>
          <w:sz w:val="24"/>
        </w:rPr>
        <w:t>esclusivamente nelle ipotesi in cui il lavoratore sia titolare di incarico di E.Q. presso entrambi gli enti</w:t>
      </w:r>
      <w:r>
        <w:rPr>
          <w:sz w:val="24"/>
        </w:rPr>
        <w:t>”, fattispecie questa che non sussiste nel nostro caso in quanto la dipendente predetta non è titolare di incarico di EQ presso l’ente di appartenenza;</w:t>
      </w:r>
    </w:p>
    <w:p>
      <w:pPr>
        <w:pStyle w:val="BodyText"/>
        <w:spacing w:before="274"/>
        <w:ind w:right="141"/>
      </w:pPr>
      <w:r>
        <w:rPr>
          <w:b/>
        </w:rPr>
        <w:t>CONSIDERATO</w:t>
      </w:r>
      <w:r>
        <w:rPr>
          <w:b/>
          <w:spacing w:val="-2"/>
        </w:rPr>
        <w:t> </w:t>
      </w:r>
      <w:r>
        <w:rPr/>
        <w:t>nel</w:t>
      </w:r>
      <w:r>
        <w:rPr>
          <w:spacing w:val="-2"/>
        </w:rPr>
        <w:t> </w:t>
      </w:r>
      <w:r>
        <w:rPr/>
        <w:t>contempo</w:t>
      </w:r>
      <w:r>
        <w:rPr>
          <w:spacing w:val="-2"/>
        </w:rPr>
        <w:t> </w:t>
      </w:r>
      <w:r>
        <w:rPr/>
        <w:t>che,</w:t>
      </w:r>
      <w:r>
        <w:rPr>
          <w:spacing w:val="-2"/>
        </w:rPr>
        <w:t> </w:t>
      </w:r>
      <w:r>
        <w:rPr/>
        <w:t>per</w:t>
      </w:r>
      <w:r>
        <w:rPr>
          <w:spacing w:val="-2"/>
        </w:rPr>
        <w:t> </w:t>
      </w:r>
      <w:r>
        <w:rPr/>
        <w:t>ormai</w:t>
      </w:r>
      <w:r>
        <w:rPr>
          <w:spacing w:val="-2"/>
        </w:rPr>
        <w:t> </w:t>
      </w:r>
      <w:r>
        <w:rPr/>
        <w:t>consolidata</w:t>
      </w:r>
      <w:r>
        <w:rPr>
          <w:spacing w:val="-2"/>
        </w:rPr>
        <w:t> </w:t>
      </w:r>
      <w:r>
        <w:rPr/>
        <w:t>dottrina</w:t>
      </w:r>
      <w:r>
        <w:rPr>
          <w:spacing w:val="-2"/>
        </w:rPr>
        <w:t> </w:t>
      </w:r>
      <w:r>
        <w:rPr/>
        <w:t>interpretativa</w:t>
      </w:r>
      <w:r>
        <w:rPr>
          <w:spacing w:val="-2"/>
        </w:rPr>
        <w:t> </w:t>
      </w:r>
      <w:r>
        <w:rPr/>
        <w:t>in</w:t>
      </w:r>
      <w:r>
        <w:rPr>
          <w:spacing w:val="-2"/>
        </w:rPr>
        <w:t> </w:t>
      </w:r>
      <w:r>
        <w:rPr/>
        <w:t>merito</w:t>
      </w:r>
      <w:r>
        <w:rPr>
          <w:spacing w:val="-2"/>
        </w:rPr>
        <w:t> </w:t>
      </w:r>
      <w:r>
        <w:rPr/>
        <w:t>al citato art.23, il valore della retribuzione di posizione e di risultato a carico dell’ente utilizzatore non deve essere necessariamente parametrata pedissequamente alla intervenuta riduzione dell’attività lavorativa, nel ns caso alle n.18 ore settimanali, in quanto il CCNL Funzioni locali del 16.11.2022 stabilisce adesso, contrariamente al CCNL precedente, che “</w:t>
      </w:r>
      <w:r>
        <w:rPr>
          <w:i/>
        </w:rPr>
        <w:t>nella rideterminazione dei relativi valori dovrà comunque tenersi conto della intervenuta riduzione della prestazione lavorativa”, </w:t>
      </w:r>
      <w:r>
        <w:rPr/>
        <w:t>introducendo pertanto un elemento di flessibilità</w:t>
      </w:r>
      <w:r>
        <w:rPr>
          <w:spacing w:val="40"/>
        </w:rPr>
        <w:t> </w:t>
      </w:r>
      <w:r>
        <w:rPr/>
        <w:t>nella determinazione di questi compensi che esula dall’obbligo di proporzionamento </w:t>
      </w:r>
      <w:r>
        <w:rPr/>
        <w:t>alla</w:t>
      </w:r>
      <w:r>
        <w:rPr>
          <w:spacing w:val="40"/>
        </w:rPr>
        <w:t> </w:t>
      </w:r>
      <w:r>
        <w:rPr/>
        <w:t>quota di debito orario presso ciascun ente, come era in precedenza, durante la vigenza del CCNL del 21.5.2018;</w:t>
      </w:r>
    </w:p>
    <w:p>
      <w:pPr>
        <w:pStyle w:val="BodyText"/>
        <w:spacing w:before="274"/>
        <w:ind w:right="140"/>
        <w:rPr>
          <w:i/>
        </w:rPr>
      </w:pPr>
      <w:r>
        <w:rPr>
          <w:b/>
        </w:rPr>
        <w:t>RAVVISATA </w:t>
      </w:r>
      <w:r>
        <w:rPr/>
        <w:t>pertanto la necessità di procedere, in conformità alle indicazioni di ARAN,</w:t>
      </w:r>
      <w:r>
        <w:rPr>
          <w:spacing w:val="40"/>
        </w:rPr>
        <w:t> </w:t>
      </w:r>
      <w:r>
        <w:rPr/>
        <w:t>alla rettifica del precedente decreto nella parte in cui si riconosce alla dipendente </w:t>
      </w:r>
      <w:r>
        <w:rPr/>
        <w:t>la maggiorazione del 30% e, allo stesso tempo, di rideterminare la retribuzione di posizione e di risultato del responsabile del Settore III° - Polizia Locale, Demografico e Attività Produttive, tenendo conto della quota di debito orario presso il ns ente ma anche dell’impegno, gravosità</w:t>
      </w:r>
      <w:r>
        <w:rPr>
          <w:spacing w:val="40"/>
        </w:rPr>
        <w:t> </w:t>
      </w:r>
      <w:r>
        <w:rPr/>
        <w:t>e complessità del nuovo incarico conferito in termini di quantità e qualità delle prestazioni richieste, anche multidisciplinari, prima non considerati</w:t>
      </w:r>
      <w:r>
        <w:rPr>
          <w:i/>
        </w:rPr>
        <w:t>;</w:t>
      </w:r>
    </w:p>
    <w:p>
      <w:pPr>
        <w:pStyle w:val="BodyText"/>
        <w:spacing w:before="274"/>
        <w:ind w:right="139"/>
      </w:pPr>
      <w:r>
        <w:rPr>
          <w:b/>
        </w:rPr>
        <w:t>SENTITO </w:t>
      </w:r>
      <w:r>
        <w:rPr/>
        <w:t>il Responsabile per la prevenzione della corruzione e della trasparenza, Dr Francesco Sanna, Segretario comunale di Ittiri (SS);</w:t>
      </w:r>
    </w:p>
    <w:p>
      <w:pPr>
        <w:spacing w:before="276"/>
        <w:ind w:left="143" w:right="0" w:firstLine="0"/>
        <w:jc w:val="both"/>
        <w:rPr>
          <w:b/>
          <w:sz w:val="24"/>
        </w:rPr>
      </w:pPr>
      <w:r>
        <w:rPr>
          <w:b/>
          <w:sz w:val="24"/>
        </w:rPr>
        <w:t>TUTTO</w:t>
      </w:r>
      <w:r>
        <w:rPr>
          <w:b/>
          <w:spacing w:val="-1"/>
          <w:sz w:val="24"/>
        </w:rPr>
        <w:t> </w:t>
      </w:r>
      <w:r>
        <w:rPr>
          <w:sz w:val="24"/>
        </w:rPr>
        <w:t>ciò premesso e </w:t>
      </w:r>
      <w:r>
        <w:rPr>
          <w:spacing w:val="-2"/>
          <w:sz w:val="24"/>
        </w:rPr>
        <w:t>considerato</w:t>
      </w:r>
      <w:r>
        <w:rPr>
          <w:b/>
          <w:spacing w:val="-2"/>
          <w:sz w:val="24"/>
        </w:rPr>
        <w:t>,</w:t>
      </w:r>
    </w:p>
    <w:p>
      <w:pPr>
        <w:spacing w:after="0"/>
        <w:jc w:val="both"/>
        <w:rPr>
          <w:b/>
          <w:sz w:val="24"/>
        </w:rPr>
        <w:sectPr>
          <w:pgSz w:w="11910" w:h="16840"/>
          <w:pgMar w:header="0" w:footer="872" w:top="780" w:bottom="1060" w:left="1275" w:right="1275"/>
        </w:sectPr>
      </w:pPr>
    </w:p>
    <w:p>
      <w:pPr>
        <w:spacing w:before="71"/>
        <w:ind w:left="0" w:right="0" w:firstLine="0"/>
        <w:jc w:val="center"/>
        <w:rPr>
          <w:b/>
          <w:sz w:val="28"/>
        </w:rPr>
      </w:pPr>
      <w:r>
        <w:rPr>
          <w:b/>
          <w:spacing w:val="-2"/>
          <w:sz w:val="28"/>
        </w:rPr>
        <w:t>DECRETA</w:t>
      </w:r>
    </w:p>
    <w:p>
      <w:pPr>
        <w:pStyle w:val="BodyText"/>
        <w:spacing w:before="275"/>
        <w:ind w:right="139"/>
      </w:pPr>
      <w:r>
        <w:rPr/>
        <w:t>Per i motivi espressi in premessa, con riferimento all’incarico conferito con </w:t>
      </w:r>
      <w:r>
        <w:rPr/>
        <w:t>precedente Decreto sindacale n.5 del 26.06.2025, con decorrenza dal </w:t>
      </w:r>
      <w:r>
        <w:rPr>
          <w:b/>
        </w:rPr>
        <w:t>1 Luglio 2025 </w:t>
      </w:r>
      <w:r>
        <w:rPr/>
        <w:t>e fino al 31</w:t>
      </w:r>
      <w:r>
        <w:rPr>
          <w:spacing w:val="40"/>
        </w:rPr>
        <w:t> </w:t>
      </w:r>
      <w:r>
        <w:rPr/>
        <w:t>Dicembre 2025, alla </w:t>
      </w:r>
      <w:r>
        <w:rPr>
          <w:b/>
          <w:i/>
        </w:rPr>
        <w:t>Dott.ssa Maria Luisa Masala</w:t>
      </w:r>
      <w:r>
        <w:rPr/>
        <w:t>, dipendente comunale ex art.23 CCNL FL del 16.11.2022, inquadrato nell’Area dei Funzionari ed Elevata Qualificazione, Responsabile del</w:t>
      </w:r>
      <w:r>
        <w:rPr>
          <w:spacing w:val="-1"/>
        </w:rPr>
        <w:t> </w:t>
      </w:r>
      <w:r>
        <w:rPr>
          <w:b/>
        </w:rPr>
        <w:t>Settore</w:t>
      </w:r>
      <w:r>
        <w:rPr>
          <w:b/>
          <w:spacing w:val="-1"/>
        </w:rPr>
        <w:t> </w:t>
      </w:r>
      <w:r>
        <w:rPr>
          <w:b/>
        </w:rPr>
        <w:t>III°</w:t>
      </w:r>
      <w:r>
        <w:rPr>
          <w:b/>
          <w:spacing w:val="-1"/>
        </w:rPr>
        <w:t> </w:t>
      </w:r>
      <w:r>
        <w:rPr>
          <w:b/>
        </w:rPr>
        <w:t>-</w:t>
      </w:r>
      <w:r>
        <w:rPr>
          <w:b/>
          <w:spacing w:val="-1"/>
        </w:rPr>
        <w:t> </w:t>
      </w:r>
      <w:r>
        <w:rPr>
          <w:b/>
        </w:rPr>
        <w:t>Polizia</w:t>
      </w:r>
      <w:r>
        <w:rPr>
          <w:b/>
          <w:spacing w:val="-1"/>
        </w:rPr>
        <w:t> </w:t>
      </w:r>
      <w:r>
        <w:rPr>
          <w:b/>
        </w:rPr>
        <w:t>Locale,</w:t>
      </w:r>
      <w:r>
        <w:rPr>
          <w:b/>
          <w:spacing w:val="-1"/>
        </w:rPr>
        <w:t> </w:t>
      </w:r>
      <w:r>
        <w:rPr>
          <w:b/>
        </w:rPr>
        <w:t>Demografico</w:t>
      </w:r>
      <w:r>
        <w:rPr>
          <w:b/>
          <w:spacing w:val="-1"/>
        </w:rPr>
        <w:t> </w:t>
      </w:r>
      <w:r>
        <w:rPr>
          <w:b/>
        </w:rPr>
        <w:t>e</w:t>
      </w:r>
      <w:r>
        <w:rPr>
          <w:b/>
          <w:spacing w:val="-1"/>
        </w:rPr>
        <w:t> </w:t>
      </w:r>
      <w:r>
        <w:rPr>
          <w:b/>
        </w:rPr>
        <w:t>Attività</w:t>
      </w:r>
      <w:r>
        <w:rPr>
          <w:b/>
          <w:spacing w:val="-1"/>
        </w:rPr>
        <w:t> </w:t>
      </w:r>
      <w:r>
        <w:rPr>
          <w:b/>
        </w:rPr>
        <w:t>Produttive</w:t>
      </w:r>
      <w:r>
        <w:rPr>
          <w:b/>
          <w:spacing w:val="-1"/>
        </w:rPr>
        <w:t> </w:t>
      </w:r>
      <w:r>
        <w:rPr>
          <w:b/>
        </w:rPr>
        <w:t>-</w:t>
      </w:r>
      <w:r>
        <w:rPr>
          <w:b/>
          <w:spacing w:val="-1"/>
        </w:rPr>
        <w:t> </w:t>
      </w:r>
      <w:r>
        <w:rPr/>
        <w:t>Titolare</w:t>
      </w:r>
      <w:r>
        <w:rPr>
          <w:spacing w:val="-1"/>
        </w:rPr>
        <w:t> </w:t>
      </w:r>
      <w:r>
        <w:rPr/>
        <w:t>di</w:t>
      </w:r>
      <w:r>
        <w:rPr>
          <w:spacing w:val="-1"/>
        </w:rPr>
        <w:t> </w:t>
      </w:r>
      <w:r>
        <w:rPr/>
        <w:t>incarico</w:t>
      </w:r>
      <w:r>
        <w:rPr>
          <w:spacing w:val="-1"/>
        </w:rPr>
        <w:t> </w:t>
      </w:r>
      <w:r>
        <w:rPr/>
        <w:t>di Elevata Qualificazione, si stabilisce che, in conformità alle indicazioni ARAN di cui in premessa,</w:t>
      </w:r>
      <w:r>
        <w:rPr>
          <w:spacing w:val="40"/>
        </w:rPr>
        <w:t> </w:t>
      </w:r>
      <w:r>
        <w:rPr/>
        <w:t>con riferimento alla determinazione della misura dell’indennità di posizione e di risultato, </w:t>
      </w:r>
      <w:r>
        <w:rPr>
          <w:u w:val="single"/>
        </w:rPr>
        <w:t>non è dovuta</w:t>
      </w:r>
      <w:r>
        <w:rPr/>
        <w:t> la maggiorazione del 30% del valore economico dell’indennità di posizione di EQ corrispondente, stabilendo nel contempo che, in ragione dell’impegno, gravosità e complessità del nuovo incarico conferito in termini di quantità e qualità delle prestazioni richieste, anche multidisciplinari, la misura dell’indennità di posizione viene determinata definitivamente nella misura del </w:t>
      </w:r>
      <w:r>
        <w:rPr>
          <w:b/>
        </w:rPr>
        <w:t>65% </w:t>
      </w:r>
      <w:r>
        <w:rPr/>
        <w:t>di quella della posizione di EQ corrispondente, e inoltre, per le stesse motivazioni, la</w:t>
      </w:r>
      <w:r>
        <w:rPr>
          <w:spacing w:val="40"/>
        </w:rPr>
        <w:t> </w:t>
      </w:r>
      <w:r>
        <w:rPr/>
        <w:t>retribuzione di risultato viene riconosciuta in misura intera, comunque da subordinare agli esiti della valutazione di performance annuale del funzionario;</w:t>
      </w:r>
    </w:p>
    <w:p>
      <w:pPr>
        <w:pStyle w:val="BodyText"/>
        <w:spacing w:before="273"/>
        <w:ind w:right="139"/>
      </w:pPr>
      <w:r>
        <w:rPr>
          <w:b/>
        </w:rPr>
        <w:t>DEMANDA </w:t>
      </w:r>
      <w:r>
        <w:rPr/>
        <w:t>al Responsabile del Settore I° - Finanziario, Tributi, Personale, Segreteria e Sistemi Informatici, per il tramite dell’Ufficio Gestione del personale, l’adozione dei</w:t>
      </w:r>
      <w:r>
        <w:rPr>
          <w:spacing w:val="40"/>
        </w:rPr>
        <w:t> </w:t>
      </w:r>
      <w:r>
        <w:rPr/>
        <w:t>necessari provvedimenti relativi all’assunzione e/o modifica dei relativi impegni di spesa, che trovano copertura negli appositi stanziamenti relativi alla spesa di personale del bilancio di previsione finanziario 2025-2027, annualità 2025.</w:t>
      </w:r>
    </w:p>
    <w:p>
      <w:pPr>
        <w:pStyle w:val="BodyText"/>
        <w:spacing w:before="274"/>
        <w:ind w:right="140"/>
      </w:pPr>
      <w:r>
        <w:rPr>
          <w:b/>
        </w:rPr>
        <w:t>DISPONE </w:t>
      </w:r>
      <w:r>
        <w:rPr/>
        <w:t>la consegna di copia del presente decreto al Segretario comunale, Responsabile</w:t>
      </w:r>
      <w:r>
        <w:rPr>
          <w:spacing w:val="40"/>
        </w:rPr>
        <w:t> </w:t>
      </w:r>
      <w:r>
        <w:rPr/>
        <w:t>dei controlli Interni, a ciascun Responsabile di Settore interessato ed all’Ufficio Gestione del Personale, unitamente alle dichiarazioni di insussistenza di cause di inconferibilità e/o incompatibilità</w:t>
      </w:r>
      <w:r>
        <w:rPr>
          <w:spacing w:val="-1"/>
        </w:rPr>
        <w:t> </w:t>
      </w:r>
      <w:r>
        <w:rPr/>
        <w:t>ai</w:t>
      </w:r>
      <w:r>
        <w:rPr>
          <w:spacing w:val="-1"/>
        </w:rPr>
        <w:t> </w:t>
      </w:r>
      <w:r>
        <w:rPr/>
        <w:t>sensi</w:t>
      </w:r>
      <w:r>
        <w:rPr>
          <w:spacing w:val="-1"/>
        </w:rPr>
        <w:t> </w:t>
      </w:r>
      <w:r>
        <w:rPr/>
        <w:t>dell’art.</w:t>
      </w:r>
      <w:r>
        <w:rPr>
          <w:spacing w:val="-1"/>
        </w:rPr>
        <w:t> </w:t>
      </w:r>
      <w:r>
        <w:rPr/>
        <w:t>20</w:t>
      </w:r>
      <w:r>
        <w:rPr>
          <w:spacing w:val="-1"/>
        </w:rPr>
        <w:t> </w:t>
      </w:r>
      <w:r>
        <w:rPr/>
        <w:t>del</w:t>
      </w:r>
      <w:r>
        <w:rPr>
          <w:spacing w:val="-1"/>
        </w:rPr>
        <w:t> </w:t>
      </w:r>
      <w:r>
        <w:rPr/>
        <w:t>D.</w:t>
      </w:r>
      <w:r>
        <w:rPr>
          <w:spacing w:val="-2"/>
        </w:rPr>
        <w:t> </w:t>
      </w:r>
      <w:r>
        <w:rPr/>
        <w:t>Lgs</w:t>
      </w:r>
      <w:r>
        <w:rPr>
          <w:spacing w:val="-1"/>
        </w:rPr>
        <w:t> </w:t>
      </w:r>
      <w:r>
        <w:rPr/>
        <w:t>n.</w:t>
      </w:r>
      <w:r>
        <w:rPr>
          <w:spacing w:val="-1"/>
        </w:rPr>
        <w:t> </w:t>
      </w:r>
      <w:r>
        <w:rPr/>
        <w:t>39/2013</w:t>
      </w:r>
      <w:r>
        <w:rPr>
          <w:spacing w:val="-1"/>
        </w:rPr>
        <w:t> </w:t>
      </w:r>
      <w:r>
        <w:rPr/>
        <w:t>e</w:t>
      </w:r>
      <w:r>
        <w:rPr>
          <w:spacing w:val="-1"/>
        </w:rPr>
        <w:t> </w:t>
      </w:r>
      <w:r>
        <w:rPr/>
        <w:t>smi</w:t>
      </w:r>
      <w:r>
        <w:rPr>
          <w:spacing w:val="-1"/>
        </w:rPr>
        <w:t> </w:t>
      </w:r>
      <w:r>
        <w:rPr/>
        <w:t>per</w:t>
      </w:r>
      <w:r>
        <w:rPr>
          <w:spacing w:val="-1"/>
        </w:rPr>
        <w:t> </w:t>
      </w:r>
      <w:r>
        <w:rPr/>
        <w:t>l’inserimento</w:t>
      </w:r>
      <w:r>
        <w:rPr>
          <w:spacing w:val="-1"/>
        </w:rPr>
        <w:t> </w:t>
      </w:r>
      <w:r>
        <w:rPr/>
        <w:t>nel</w:t>
      </w:r>
      <w:r>
        <w:rPr>
          <w:spacing w:val="-1"/>
        </w:rPr>
        <w:t> </w:t>
      </w:r>
      <w:r>
        <w:rPr/>
        <w:t>fascicolo personale e nella sezione “Amministrazione trasparente” del sito istituzionale.</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37"/>
        <w:ind w:left="0"/>
        <w:jc w:val="left"/>
        <w:rPr>
          <w:sz w:val="20"/>
        </w:rPr>
      </w:pPr>
    </w:p>
    <w:p>
      <w:pPr>
        <w:pStyle w:val="BodyText"/>
        <w:spacing w:after="0"/>
        <w:jc w:val="left"/>
        <w:rPr>
          <w:sz w:val="20"/>
        </w:rPr>
        <w:sectPr>
          <w:pgSz w:w="11910" w:h="16840"/>
          <w:pgMar w:header="0" w:footer="872" w:top="780" w:bottom="1060" w:left="1275" w:right="1275"/>
        </w:sectPr>
      </w:pPr>
    </w:p>
    <w:p>
      <w:pPr>
        <w:pStyle w:val="BodyText"/>
        <w:spacing w:before="70"/>
        <w:jc w:val="left"/>
        <w:rPr>
          <w:rFonts w:ascii="Palatino Linotype"/>
        </w:rPr>
      </w:pPr>
      <w:r>
        <w:rPr>
          <w:rFonts w:ascii="Palatino Linotype"/>
        </w:rPr>
        <w:t>Ossi, 22-07-</w:t>
      </w:r>
      <w:r>
        <w:rPr>
          <w:rFonts w:ascii="Palatino Linotype"/>
          <w:spacing w:val="-4"/>
        </w:rPr>
        <w:t>2025</w:t>
      </w:r>
    </w:p>
    <w:p>
      <w:pPr>
        <w:spacing w:line="240" w:lineRule="auto" w:before="92"/>
        <w:rPr>
          <w:rFonts w:ascii="Palatino Linotype"/>
          <w:sz w:val="22"/>
        </w:rPr>
      </w:pPr>
      <w:r>
        <w:rPr/>
        <w:br w:type="column"/>
      </w:r>
      <w:r>
        <w:rPr>
          <w:rFonts w:ascii="Palatino Linotype"/>
          <w:sz w:val="22"/>
        </w:rPr>
      </w:r>
    </w:p>
    <w:p>
      <w:pPr>
        <w:spacing w:before="1"/>
        <w:ind w:left="0" w:right="1282" w:firstLine="0"/>
        <w:jc w:val="center"/>
        <w:rPr>
          <w:b/>
          <w:sz w:val="22"/>
        </w:rPr>
      </w:pPr>
      <w:r>
        <w:rPr>
          <w:b/>
          <w:sz w:val="22"/>
        </w:rPr>
        <w:t>Il </w:t>
      </w:r>
      <w:r>
        <w:rPr>
          <w:b/>
          <w:spacing w:val="-2"/>
          <w:sz w:val="22"/>
        </w:rPr>
        <w:t>Sindaco</w:t>
      </w:r>
    </w:p>
    <w:p>
      <w:pPr>
        <w:spacing w:before="0"/>
        <w:ind w:left="0" w:right="1282" w:firstLine="0"/>
        <w:jc w:val="center"/>
        <w:rPr>
          <w:sz w:val="22"/>
        </w:rPr>
      </w:pPr>
      <w:r>
        <w:rPr>
          <w:sz w:val="22"/>
        </w:rPr>
        <w:t>Dott. Pasquale </w:t>
      </w:r>
      <w:r>
        <w:rPr>
          <w:spacing w:val="-2"/>
          <w:sz w:val="22"/>
        </w:rPr>
        <w:t>Lubinu</w:t>
      </w:r>
    </w:p>
    <w:p>
      <w:pPr>
        <w:spacing w:after="0"/>
        <w:jc w:val="center"/>
        <w:rPr>
          <w:sz w:val="22"/>
        </w:rPr>
        <w:sectPr>
          <w:type w:val="continuous"/>
          <w:pgSz w:w="11910" w:h="16840"/>
          <w:pgMar w:header="0" w:footer="872" w:top="780" w:bottom="280" w:left="1275" w:right="1275"/>
          <w:cols w:num="2" w:equalWidth="0">
            <w:col w:w="1885" w:space="3928"/>
            <w:col w:w="3547"/>
          </w:cols>
        </w:sectPr>
      </w:pPr>
    </w:p>
    <w:p>
      <w:pPr>
        <w:pStyle w:val="BodyText"/>
        <w:spacing w:before="226"/>
        <w:ind w:left="0"/>
        <w:jc w:val="left"/>
      </w:pPr>
    </w:p>
    <w:p>
      <w:pPr>
        <w:spacing w:before="1"/>
        <w:ind w:left="143" w:right="0" w:firstLine="0"/>
        <w:jc w:val="left"/>
        <w:rPr>
          <w:sz w:val="24"/>
        </w:rPr>
      </w:pPr>
      <w:r>
        <w:rPr>
          <w:i/>
          <w:sz w:val="24"/>
        </w:rPr>
        <w:t>Documento prodotto in originale informatico e firmato digitalmente ai sensi dell'art. 20 del</w:t>
      </w:r>
      <w:r>
        <w:rPr>
          <w:i/>
          <w:spacing w:val="40"/>
          <w:sz w:val="24"/>
        </w:rPr>
        <w:t> </w:t>
      </w:r>
      <w:r>
        <w:rPr>
          <w:i/>
          <w:sz w:val="24"/>
        </w:rPr>
        <w:t>"Codice dell'amministrazione digitale" (D.Leg.vo 82/2005)</w:t>
      </w:r>
      <w:r>
        <w:rPr>
          <w:sz w:val="24"/>
        </w:rPr>
        <w:t>.</w:t>
      </w:r>
    </w:p>
    <w:sectPr>
      <w:type w:val="continuous"/>
      <w:pgSz w:w="11910" w:h="16840"/>
      <w:pgMar w:header="0" w:footer="872" w:top="780" w:bottom="280" w:left="1275"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Palatino Linotype">
    <w:altName w:val="Palatino Linotype"/>
    <w:charset w:val="1"/>
    <w:family w:val="roman"/>
    <w:pitch w:val="variable"/>
  </w:font>
  <w:font w:name="Cambria">
    <w:altName w:val="Cambria"/>
    <w:charset w:val="1"/>
    <w:family w:val="roman"/>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7511040">
              <wp:simplePos x="0" y="0"/>
              <wp:positionH relativeFrom="page">
                <wp:posOffset>2059470</wp:posOffset>
              </wp:positionH>
              <wp:positionV relativeFrom="page">
                <wp:posOffset>10000155</wp:posOffset>
              </wp:positionV>
              <wp:extent cx="3442335" cy="255904"/>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3442335" cy="255904"/>
                      </a:xfrm>
                      <a:prstGeom prst="rect">
                        <a:avLst/>
                      </a:prstGeom>
                    </wps:spPr>
                    <wps:txbx>
                      <w:txbxContent>
                        <w:p>
                          <w:pPr>
                            <w:spacing w:before="14"/>
                            <w:ind w:left="1833" w:right="18" w:hanging="1814"/>
                            <w:jc w:val="left"/>
                            <w:rPr>
                              <w:rFonts w:ascii="Arial MT"/>
                              <w:sz w:val="16"/>
                            </w:rPr>
                          </w:pPr>
                          <w:r>
                            <w:rPr>
                              <w:rFonts w:ascii="Arial MT"/>
                              <w:sz w:val="16"/>
                            </w:rPr>
                            <w:t>Determinazione</w:t>
                          </w:r>
                          <w:r>
                            <w:rPr>
                              <w:rFonts w:ascii="Arial MT"/>
                              <w:spacing w:val="-4"/>
                              <w:sz w:val="16"/>
                            </w:rPr>
                            <w:t> </w:t>
                          </w:r>
                          <w:r>
                            <w:rPr>
                              <w:rFonts w:ascii="Arial MT"/>
                              <w:sz w:val="16"/>
                            </w:rPr>
                            <w:t>Decreto</w:t>
                          </w:r>
                          <w:r>
                            <w:rPr>
                              <w:rFonts w:ascii="Arial MT"/>
                              <w:spacing w:val="-4"/>
                              <w:sz w:val="16"/>
                            </w:rPr>
                            <w:t> </w:t>
                          </w:r>
                          <w:r>
                            <w:rPr>
                              <w:rFonts w:ascii="Arial MT"/>
                              <w:sz w:val="16"/>
                            </w:rPr>
                            <w:t>del</w:t>
                          </w:r>
                          <w:r>
                            <w:rPr>
                              <w:rFonts w:ascii="Arial MT"/>
                              <w:spacing w:val="-4"/>
                              <w:sz w:val="16"/>
                            </w:rPr>
                            <w:t> </w:t>
                          </w:r>
                          <w:r>
                            <w:rPr>
                              <w:rFonts w:ascii="Arial MT"/>
                              <w:sz w:val="16"/>
                            </w:rPr>
                            <w:t>Sindaco</w:t>
                          </w:r>
                          <w:r>
                            <w:rPr>
                              <w:rFonts w:ascii="Arial MT"/>
                              <w:spacing w:val="-4"/>
                              <w:sz w:val="16"/>
                            </w:rPr>
                            <w:t> </w:t>
                          </w:r>
                          <w:r>
                            <w:rPr>
                              <w:rFonts w:ascii="Arial MT"/>
                              <w:sz w:val="16"/>
                            </w:rPr>
                            <w:t>n.9</w:t>
                          </w:r>
                          <w:r>
                            <w:rPr>
                              <w:rFonts w:ascii="Arial MT"/>
                              <w:spacing w:val="-4"/>
                              <w:sz w:val="16"/>
                            </w:rPr>
                            <w:t> </w:t>
                          </w:r>
                          <w:r>
                            <w:rPr>
                              <w:rFonts w:ascii="Arial MT"/>
                              <w:sz w:val="16"/>
                            </w:rPr>
                            <w:t>del</w:t>
                          </w:r>
                          <w:r>
                            <w:rPr>
                              <w:rFonts w:ascii="Arial MT"/>
                              <w:spacing w:val="-4"/>
                              <w:sz w:val="16"/>
                            </w:rPr>
                            <w:t> </w:t>
                          </w:r>
                          <w:r>
                            <w:rPr>
                              <w:rFonts w:ascii="Arial MT"/>
                              <w:sz w:val="16"/>
                            </w:rPr>
                            <w:t>22-07-2025</w:t>
                          </w:r>
                          <w:r>
                            <w:rPr>
                              <w:rFonts w:ascii="Arial MT"/>
                              <w:spacing w:val="-4"/>
                              <w:sz w:val="16"/>
                            </w:rPr>
                            <w:t> </w:t>
                          </w:r>
                          <w:r>
                            <w:rPr>
                              <w:rFonts w:ascii="Arial MT"/>
                              <w:sz w:val="16"/>
                            </w:rPr>
                            <w:t>COMUNE</w:t>
                          </w:r>
                          <w:r>
                            <w:rPr>
                              <w:rFonts w:ascii="Arial MT"/>
                              <w:spacing w:val="-4"/>
                              <w:sz w:val="16"/>
                            </w:rPr>
                            <w:t> </w:t>
                          </w:r>
                          <w:r>
                            <w:rPr>
                              <w:rFonts w:ascii="Arial MT"/>
                              <w:sz w:val="16"/>
                            </w:rPr>
                            <w:t>DI</w:t>
                          </w:r>
                          <w:r>
                            <w:rPr>
                              <w:rFonts w:ascii="Arial MT"/>
                              <w:spacing w:val="-5"/>
                              <w:sz w:val="16"/>
                            </w:rPr>
                            <w:t> </w:t>
                          </w:r>
                          <w:r>
                            <w:rPr>
                              <w:rFonts w:ascii="Arial MT"/>
                              <w:sz w:val="16"/>
                            </w:rPr>
                            <w:t>OSSI 24/07/2025 10:23 Pag. </w:t>
                          </w:r>
                          <w:r>
                            <w:rPr>
                              <w:rFonts w:ascii="Arial MT"/>
                              <w:sz w:val="16"/>
                            </w:rPr>
                            <w:fldChar w:fldCharType="begin"/>
                          </w:r>
                          <w:r>
                            <w:rPr>
                              <w:rFonts w:ascii="Arial MT"/>
                              <w:sz w:val="16"/>
                            </w:rPr>
                            <w:instrText> PAGE </w:instrText>
                          </w:r>
                          <w:r>
                            <w:rPr>
                              <w:rFonts w:ascii="Arial MT"/>
                              <w:sz w:val="16"/>
                            </w:rPr>
                            <w:fldChar w:fldCharType="separate"/>
                          </w:r>
                          <w:r>
                            <w:rPr>
                              <w:rFonts w:ascii="Arial MT"/>
                              <w:sz w:val="16"/>
                            </w:rPr>
                            <w:t>2</w:t>
                          </w:r>
                          <w:r>
                            <w:rPr>
                              <w:rFonts w:ascii="Arial MT"/>
                              <w:sz w:val="16"/>
                            </w:rPr>
                            <w:fldChar w:fldCharType="end"/>
                          </w:r>
                        </w:p>
                      </w:txbxContent>
                    </wps:txbx>
                    <wps:bodyPr wrap="square" lIns="0" tIns="0" rIns="0" bIns="0" rtlCol="0">
                      <a:noAutofit/>
                    </wps:bodyPr>
                  </wps:wsp>
                </a:graphicData>
              </a:graphic>
            </wp:anchor>
          </w:drawing>
        </mc:Choice>
        <mc:Fallback>
          <w:pict>
            <v:shape style="position:absolute;margin-left:162.163010pt;margin-top:787.413818pt;width:271.05pt;height:20.150pt;mso-position-horizontal-relative:page;mso-position-vertical-relative:page;z-index:-15805440" type="#_x0000_t202" id="docshape5" filled="false" stroked="false">
              <v:textbox inset="0,0,0,0">
                <w:txbxContent>
                  <w:p>
                    <w:pPr>
                      <w:spacing w:before="14"/>
                      <w:ind w:left="1833" w:right="18" w:hanging="1814"/>
                      <w:jc w:val="left"/>
                      <w:rPr>
                        <w:rFonts w:ascii="Arial MT"/>
                        <w:sz w:val="16"/>
                      </w:rPr>
                    </w:pPr>
                    <w:r>
                      <w:rPr>
                        <w:rFonts w:ascii="Arial MT"/>
                        <w:sz w:val="16"/>
                      </w:rPr>
                      <w:t>Determinazione</w:t>
                    </w:r>
                    <w:r>
                      <w:rPr>
                        <w:rFonts w:ascii="Arial MT"/>
                        <w:spacing w:val="-4"/>
                        <w:sz w:val="16"/>
                      </w:rPr>
                      <w:t> </w:t>
                    </w:r>
                    <w:r>
                      <w:rPr>
                        <w:rFonts w:ascii="Arial MT"/>
                        <w:sz w:val="16"/>
                      </w:rPr>
                      <w:t>Decreto</w:t>
                    </w:r>
                    <w:r>
                      <w:rPr>
                        <w:rFonts w:ascii="Arial MT"/>
                        <w:spacing w:val="-4"/>
                        <w:sz w:val="16"/>
                      </w:rPr>
                      <w:t> </w:t>
                    </w:r>
                    <w:r>
                      <w:rPr>
                        <w:rFonts w:ascii="Arial MT"/>
                        <w:sz w:val="16"/>
                      </w:rPr>
                      <w:t>del</w:t>
                    </w:r>
                    <w:r>
                      <w:rPr>
                        <w:rFonts w:ascii="Arial MT"/>
                        <w:spacing w:val="-4"/>
                        <w:sz w:val="16"/>
                      </w:rPr>
                      <w:t> </w:t>
                    </w:r>
                    <w:r>
                      <w:rPr>
                        <w:rFonts w:ascii="Arial MT"/>
                        <w:sz w:val="16"/>
                      </w:rPr>
                      <w:t>Sindaco</w:t>
                    </w:r>
                    <w:r>
                      <w:rPr>
                        <w:rFonts w:ascii="Arial MT"/>
                        <w:spacing w:val="-4"/>
                        <w:sz w:val="16"/>
                      </w:rPr>
                      <w:t> </w:t>
                    </w:r>
                    <w:r>
                      <w:rPr>
                        <w:rFonts w:ascii="Arial MT"/>
                        <w:sz w:val="16"/>
                      </w:rPr>
                      <w:t>n.9</w:t>
                    </w:r>
                    <w:r>
                      <w:rPr>
                        <w:rFonts w:ascii="Arial MT"/>
                        <w:spacing w:val="-4"/>
                        <w:sz w:val="16"/>
                      </w:rPr>
                      <w:t> </w:t>
                    </w:r>
                    <w:r>
                      <w:rPr>
                        <w:rFonts w:ascii="Arial MT"/>
                        <w:sz w:val="16"/>
                      </w:rPr>
                      <w:t>del</w:t>
                    </w:r>
                    <w:r>
                      <w:rPr>
                        <w:rFonts w:ascii="Arial MT"/>
                        <w:spacing w:val="-4"/>
                        <w:sz w:val="16"/>
                      </w:rPr>
                      <w:t> </w:t>
                    </w:r>
                    <w:r>
                      <w:rPr>
                        <w:rFonts w:ascii="Arial MT"/>
                        <w:sz w:val="16"/>
                      </w:rPr>
                      <w:t>22-07-2025</w:t>
                    </w:r>
                    <w:r>
                      <w:rPr>
                        <w:rFonts w:ascii="Arial MT"/>
                        <w:spacing w:val="-4"/>
                        <w:sz w:val="16"/>
                      </w:rPr>
                      <w:t> </w:t>
                    </w:r>
                    <w:r>
                      <w:rPr>
                        <w:rFonts w:ascii="Arial MT"/>
                        <w:sz w:val="16"/>
                      </w:rPr>
                      <w:t>COMUNE</w:t>
                    </w:r>
                    <w:r>
                      <w:rPr>
                        <w:rFonts w:ascii="Arial MT"/>
                        <w:spacing w:val="-4"/>
                        <w:sz w:val="16"/>
                      </w:rPr>
                      <w:t> </w:t>
                    </w:r>
                    <w:r>
                      <w:rPr>
                        <w:rFonts w:ascii="Arial MT"/>
                        <w:sz w:val="16"/>
                      </w:rPr>
                      <w:t>DI</w:t>
                    </w:r>
                    <w:r>
                      <w:rPr>
                        <w:rFonts w:ascii="Arial MT"/>
                        <w:spacing w:val="-5"/>
                        <w:sz w:val="16"/>
                      </w:rPr>
                      <w:t> </w:t>
                    </w:r>
                    <w:r>
                      <w:rPr>
                        <w:rFonts w:ascii="Arial MT"/>
                        <w:sz w:val="16"/>
                      </w:rPr>
                      <w:t>OSSI 24/07/2025 10:23 Pag. </w:t>
                    </w:r>
                    <w:r>
                      <w:rPr>
                        <w:rFonts w:ascii="Arial MT"/>
                        <w:sz w:val="16"/>
                      </w:rPr>
                      <w:fldChar w:fldCharType="begin"/>
                    </w:r>
                    <w:r>
                      <w:rPr>
                        <w:rFonts w:ascii="Arial MT"/>
                        <w:sz w:val="16"/>
                      </w:rPr>
                      <w:instrText> PAGE </w:instrText>
                    </w:r>
                    <w:r>
                      <w:rPr>
                        <w:rFonts w:ascii="Arial MT"/>
                        <w:sz w:val="16"/>
                      </w:rPr>
                      <w:fldChar w:fldCharType="separate"/>
                    </w:r>
                    <w:r>
                      <w:rPr>
                        <w:rFonts w:ascii="Arial MT"/>
                        <w:sz w:val="16"/>
                      </w:rPr>
                      <w:t>2</w:t>
                    </w:r>
                    <w:r>
                      <w:rPr>
                        <w:rFonts w:ascii="Arial MT"/>
                        <w:sz w:val="16"/>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0"/>
      <w:numFmt w:val="bullet"/>
      <w:lvlText w:val="-"/>
      <w:lvlJc w:val="left"/>
      <w:pPr>
        <w:ind w:left="143" w:hanging="156"/>
      </w:pPr>
      <w:rPr>
        <w:rFonts w:hint="default" w:ascii="Times New Roman" w:hAnsi="Times New Roman" w:eastAsia="Times New Roman" w:cs="Times New Roman"/>
        <w:b w:val="0"/>
        <w:bCs w:val="0"/>
        <w:i/>
        <w:iCs/>
        <w:spacing w:val="0"/>
        <w:w w:val="100"/>
        <w:sz w:val="24"/>
        <w:szCs w:val="24"/>
        <w:lang w:val="it-IT" w:eastAsia="en-US" w:bidi="ar-SA"/>
      </w:rPr>
    </w:lvl>
    <w:lvl w:ilvl="1">
      <w:start w:val="0"/>
      <w:numFmt w:val="bullet"/>
      <w:lvlText w:val="•"/>
      <w:lvlJc w:val="left"/>
      <w:pPr>
        <w:ind w:left="1061" w:hanging="156"/>
      </w:pPr>
      <w:rPr>
        <w:rFonts w:hint="default"/>
        <w:lang w:val="it-IT" w:eastAsia="en-US" w:bidi="ar-SA"/>
      </w:rPr>
    </w:lvl>
    <w:lvl w:ilvl="2">
      <w:start w:val="0"/>
      <w:numFmt w:val="bullet"/>
      <w:lvlText w:val="•"/>
      <w:lvlJc w:val="left"/>
      <w:pPr>
        <w:ind w:left="1983" w:hanging="156"/>
      </w:pPr>
      <w:rPr>
        <w:rFonts w:hint="default"/>
        <w:lang w:val="it-IT" w:eastAsia="en-US" w:bidi="ar-SA"/>
      </w:rPr>
    </w:lvl>
    <w:lvl w:ilvl="3">
      <w:start w:val="0"/>
      <w:numFmt w:val="bullet"/>
      <w:lvlText w:val="•"/>
      <w:lvlJc w:val="left"/>
      <w:pPr>
        <w:ind w:left="2905" w:hanging="156"/>
      </w:pPr>
      <w:rPr>
        <w:rFonts w:hint="default"/>
        <w:lang w:val="it-IT" w:eastAsia="en-US" w:bidi="ar-SA"/>
      </w:rPr>
    </w:lvl>
    <w:lvl w:ilvl="4">
      <w:start w:val="0"/>
      <w:numFmt w:val="bullet"/>
      <w:lvlText w:val="•"/>
      <w:lvlJc w:val="left"/>
      <w:pPr>
        <w:ind w:left="3826" w:hanging="156"/>
      </w:pPr>
      <w:rPr>
        <w:rFonts w:hint="default"/>
        <w:lang w:val="it-IT" w:eastAsia="en-US" w:bidi="ar-SA"/>
      </w:rPr>
    </w:lvl>
    <w:lvl w:ilvl="5">
      <w:start w:val="0"/>
      <w:numFmt w:val="bullet"/>
      <w:lvlText w:val="•"/>
      <w:lvlJc w:val="left"/>
      <w:pPr>
        <w:ind w:left="4748" w:hanging="156"/>
      </w:pPr>
      <w:rPr>
        <w:rFonts w:hint="default"/>
        <w:lang w:val="it-IT" w:eastAsia="en-US" w:bidi="ar-SA"/>
      </w:rPr>
    </w:lvl>
    <w:lvl w:ilvl="6">
      <w:start w:val="0"/>
      <w:numFmt w:val="bullet"/>
      <w:lvlText w:val="•"/>
      <w:lvlJc w:val="left"/>
      <w:pPr>
        <w:ind w:left="5670" w:hanging="156"/>
      </w:pPr>
      <w:rPr>
        <w:rFonts w:hint="default"/>
        <w:lang w:val="it-IT" w:eastAsia="en-US" w:bidi="ar-SA"/>
      </w:rPr>
    </w:lvl>
    <w:lvl w:ilvl="7">
      <w:start w:val="0"/>
      <w:numFmt w:val="bullet"/>
      <w:lvlText w:val="•"/>
      <w:lvlJc w:val="left"/>
      <w:pPr>
        <w:ind w:left="6591" w:hanging="156"/>
      </w:pPr>
      <w:rPr>
        <w:rFonts w:hint="default"/>
        <w:lang w:val="it-IT" w:eastAsia="en-US" w:bidi="ar-SA"/>
      </w:rPr>
    </w:lvl>
    <w:lvl w:ilvl="8">
      <w:start w:val="0"/>
      <w:numFmt w:val="bullet"/>
      <w:lvlText w:val="•"/>
      <w:lvlJc w:val="left"/>
      <w:pPr>
        <w:ind w:left="7513" w:hanging="156"/>
      </w:pPr>
      <w:rPr>
        <w:rFonts w:hint="default"/>
        <w:lang w:val="it-IT" w:eastAsia="en-US" w:bidi="ar-SA"/>
      </w:rPr>
    </w:lvl>
  </w:abstractNum>
  <w:abstractNum w:abstractNumId="2">
    <w:multiLevelType w:val="hybridMultilevel"/>
    <w:lvl w:ilvl="0">
      <w:start w:val="0"/>
      <w:numFmt w:val="bullet"/>
      <w:lvlText w:val=""/>
      <w:lvlJc w:val="left"/>
      <w:pPr>
        <w:ind w:left="863" w:hanging="360"/>
      </w:pPr>
      <w:rPr>
        <w:rFonts w:hint="default" w:ascii="Symbol" w:hAnsi="Symbol" w:eastAsia="Symbol" w:cs="Symbol"/>
        <w:b w:val="0"/>
        <w:bCs w:val="0"/>
        <w:i w:val="0"/>
        <w:iCs w:val="0"/>
        <w:spacing w:val="0"/>
        <w:w w:val="100"/>
        <w:sz w:val="20"/>
        <w:szCs w:val="20"/>
        <w:lang w:val="it-IT" w:eastAsia="en-US" w:bidi="ar-SA"/>
      </w:rPr>
    </w:lvl>
    <w:lvl w:ilvl="1">
      <w:start w:val="0"/>
      <w:numFmt w:val="bullet"/>
      <w:lvlText w:val="•"/>
      <w:lvlJc w:val="left"/>
      <w:pPr>
        <w:ind w:left="1709" w:hanging="360"/>
      </w:pPr>
      <w:rPr>
        <w:rFonts w:hint="default"/>
        <w:lang w:val="it-IT" w:eastAsia="en-US" w:bidi="ar-SA"/>
      </w:rPr>
    </w:lvl>
    <w:lvl w:ilvl="2">
      <w:start w:val="0"/>
      <w:numFmt w:val="bullet"/>
      <w:lvlText w:val="•"/>
      <w:lvlJc w:val="left"/>
      <w:pPr>
        <w:ind w:left="2559" w:hanging="360"/>
      </w:pPr>
      <w:rPr>
        <w:rFonts w:hint="default"/>
        <w:lang w:val="it-IT" w:eastAsia="en-US" w:bidi="ar-SA"/>
      </w:rPr>
    </w:lvl>
    <w:lvl w:ilvl="3">
      <w:start w:val="0"/>
      <w:numFmt w:val="bullet"/>
      <w:lvlText w:val="•"/>
      <w:lvlJc w:val="left"/>
      <w:pPr>
        <w:ind w:left="3409" w:hanging="360"/>
      </w:pPr>
      <w:rPr>
        <w:rFonts w:hint="default"/>
        <w:lang w:val="it-IT" w:eastAsia="en-US" w:bidi="ar-SA"/>
      </w:rPr>
    </w:lvl>
    <w:lvl w:ilvl="4">
      <w:start w:val="0"/>
      <w:numFmt w:val="bullet"/>
      <w:lvlText w:val="•"/>
      <w:lvlJc w:val="left"/>
      <w:pPr>
        <w:ind w:left="4258" w:hanging="360"/>
      </w:pPr>
      <w:rPr>
        <w:rFonts w:hint="default"/>
        <w:lang w:val="it-IT" w:eastAsia="en-US" w:bidi="ar-SA"/>
      </w:rPr>
    </w:lvl>
    <w:lvl w:ilvl="5">
      <w:start w:val="0"/>
      <w:numFmt w:val="bullet"/>
      <w:lvlText w:val="•"/>
      <w:lvlJc w:val="left"/>
      <w:pPr>
        <w:ind w:left="5108" w:hanging="360"/>
      </w:pPr>
      <w:rPr>
        <w:rFonts w:hint="default"/>
        <w:lang w:val="it-IT" w:eastAsia="en-US" w:bidi="ar-SA"/>
      </w:rPr>
    </w:lvl>
    <w:lvl w:ilvl="6">
      <w:start w:val="0"/>
      <w:numFmt w:val="bullet"/>
      <w:lvlText w:val="•"/>
      <w:lvlJc w:val="left"/>
      <w:pPr>
        <w:ind w:left="5958" w:hanging="360"/>
      </w:pPr>
      <w:rPr>
        <w:rFonts w:hint="default"/>
        <w:lang w:val="it-IT" w:eastAsia="en-US" w:bidi="ar-SA"/>
      </w:rPr>
    </w:lvl>
    <w:lvl w:ilvl="7">
      <w:start w:val="0"/>
      <w:numFmt w:val="bullet"/>
      <w:lvlText w:val="•"/>
      <w:lvlJc w:val="left"/>
      <w:pPr>
        <w:ind w:left="6807" w:hanging="360"/>
      </w:pPr>
      <w:rPr>
        <w:rFonts w:hint="default"/>
        <w:lang w:val="it-IT" w:eastAsia="en-US" w:bidi="ar-SA"/>
      </w:rPr>
    </w:lvl>
    <w:lvl w:ilvl="8">
      <w:start w:val="0"/>
      <w:numFmt w:val="bullet"/>
      <w:lvlText w:val="•"/>
      <w:lvlJc w:val="left"/>
      <w:pPr>
        <w:ind w:left="7657" w:hanging="360"/>
      </w:pPr>
      <w:rPr>
        <w:rFonts w:hint="default"/>
        <w:lang w:val="it-IT" w:eastAsia="en-US" w:bidi="ar-SA"/>
      </w:rPr>
    </w:lvl>
  </w:abstractNum>
  <w:abstractNum w:abstractNumId="1">
    <w:multiLevelType w:val="hybridMultilevel"/>
    <w:lvl w:ilvl="0">
      <w:start w:val="1"/>
      <w:numFmt w:val="lowerLetter"/>
      <w:lvlText w:val="%1)"/>
      <w:lvlJc w:val="left"/>
      <w:pPr>
        <w:ind w:left="143" w:hanging="264"/>
        <w:jc w:val="left"/>
      </w:pPr>
      <w:rPr>
        <w:rFonts w:hint="default" w:ascii="Times New Roman" w:hAnsi="Times New Roman" w:eastAsia="Times New Roman" w:cs="Times New Roman"/>
        <w:b/>
        <w:bCs/>
        <w:i w:val="0"/>
        <w:iCs w:val="0"/>
        <w:spacing w:val="0"/>
        <w:w w:val="100"/>
        <w:sz w:val="24"/>
        <w:szCs w:val="24"/>
        <w:lang w:val="it-IT" w:eastAsia="en-US" w:bidi="ar-SA"/>
      </w:rPr>
    </w:lvl>
    <w:lvl w:ilvl="1">
      <w:start w:val="0"/>
      <w:numFmt w:val="bullet"/>
      <w:lvlText w:val="•"/>
      <w:lvlJc w:val="left"/>
      <w:pPr>
        <w:ind w:left="1061" w:hanging="264"/>
      </w:pPr>
      <w:rPr>
        <w:rFonts w:hint="default"/>
        <w:lang w:val="it-IT" w:eastAsia="en-US" w:bidi="ar-SA"/>
      </w:rPr>
    </w:lvl>
    <w:lvl w:ilvl="2">
      <w:start w:val="0"/>
      <w:numFmt w:val="bullet"/>
      <w:lvlText w:val="•"/>
      <w:lvlJc w:val="left"/>
      <w:pPr>
        <w:ind w:left="1983" w:hanging="264"/>
      </w:pPr>
      <w:rPr>
        <w:rFonts w:hint="default"/>
        <w:lang w:val="it-IT" w:eastAsia="en-US" w:bidi="ar-SA"/>
      </w:rPr>
    </w:lvl>
    <w:lvl w:ilvl="3">
      <w:start w:val="0"/>
      <w:numFmt w:val="bullet"/>
      <w:lvlText w:val="•"/>
      <w:lvlJc w:val="left"/>
      <w:pPr>
        <w:ind w:left="2905" w:hanging="264"/>
      </w:pPr>
      <w:rPr>
        <w:rFonts w:hint="default"/>
        <w:lang w:val="it-IT" w:eastAsia="en-US" w:bidi="ar-SA"/>
      </w:rPr>
    </w:lvl>
    <w:lvl w:ilvl="4">
      <w:start w:val="0"/>
      <w:numFmt w:val="bullet"/>
      <w:lvlText w:val="•"/>
      <w:lvlJc w:val="left"/>
      <w:pPr>
        <w:ind w:left="3826" w:hanging="264"/>
      </w:pPr>
      <w:rPr>
        <w:rFonts w:hint="default"/>
        <w:lang w:val="it-IT" w:eastAsia="en-US" w:bidi="ar-SA"/>
      </w:rPr>
    </w:lvl>
    <w:lvl w:ilvl="5">
      <w:start w:val="0"/>
      <w:numFmt w:val="bullet"/>
      <w:lvlText w:val="•"/>
      <w:lvlJc w:val="left"/>
      <w:pPr>
        <w:ind w:left="4748" w:hanging="264"/>
      </w:pPr>
      <w:rPr>
        <w:rFonts w:hint="default"/>
        <w:lang w:val="it-IT" w:eastAsia="en-US" w:bidi="ar-SA"/>
      </w:rPr>
    </w:lvl>
    <w:lvl w:ilvl="6">
      <w:start w:val="0"/>
      <w:numFmt w:val="bullet"/>
      <w:lvlText w:val="•"/>
      <w:lvlJc w:val="left"/>
      <w:pPr>
        <w:ind w:left="5670" w:hanging="264"/>
      </w:pPr>
      <w:rPr>
        <w:rFonts w:hint="default"/>
        <w:lang w:val="it-IT" w:eastAsia="en-US" w:bidi="ar-SA"/>
      </w:rPr>
    </w:lvl>
    <w:lvl w:ilvl="7">
      <w:start w:val="0"/>
      <w:numFmt w:val="bullet"/>
      <w:lvlText w:val="•"/>
      <w:lvlJc w:val="left"/>
      <w:pPr>
        <w:ind w:left="6591" w:hanging="264"/>
      </w:pPr>
      <w:rPr>
        <w:rFonts w:hint="default"/>
        <w:lang w:val="it-IT" w:eastAsia="en-US" w:bidi="ar-SA"/>
      </w:rPr>
    </w:lvl>
    <w:lvl w:ilvl="8">
      <w:start w:val="0"/>
      <w:numFmt w:val="bullet"/>
      <w:lvlText w:val="•"/>
      <w:lvlJc w:val="left"/>
      <w:pPr>
        <w:ind w:left="7513" w:hanging="264"/>
      </w:pPr>
      <w:rPr>
        <w:rFonts w:hint="default"/>
        <w:lang w:val="it-IT" w:eastAsia="en-US" w:bidi="ar-SA"/>
      </w:rPr>
    </w:lvl>
  </w:abstractNum>
  <w:abstractNum w:abstractNumId="0">
    <w:multiLevelType w:val="hybridMultilevel"/>
    <w:lvl w:ilvl="0">
      <w:start w:val="0"/>
      <w:numFmt w:val="bullet"/>
      <w:lvlText w:val="-"/>
      <w:lvlJc w:val="left"/>
      <w:pPr>
        <w:ind w:left="143" w:hanging="140"/>
      </w:pPr>
      <w:rPr>
        <w:rFonts w:hint="default" w:ascii="Times New Roman" w:hAnsi="Times New Roman" w:eastAsia="Times New Roman" w:cs="Times New Roman"/>
        <w:spacing w:val="0"/>
        <w:w w:val="100"/>
        <w:lang w:val="it-IT" w:eastAsia="en-US" w:bidi="ar-SA"/>
      </w:rPr>
    </w:lvl>
    <w:lvl w:ilvl="1">
      <w:start w:val="0"/>
      <w:numFmt w:val="bullet"/>
      <w:lvlText w:val="•"/>
      <w:lvlJc w:val="left"/>
      <w:pPr>
        <w:ind w:left="1061" w:hanging="140"/>
      </w:pPr>
      <w:rPr>
        <w:rFonts w:hint="default"/>
        <w:lang w:val="it-IT" w:eastAsia="en-US" w:bidi="ar-SA"/>
      </w:rPr>
    </w:lvl>
    <w:lvl w:ilvl="2">
      <w:start w:val="0"/>
      <w:numFmt w:val="bullet"/>
      <w:lvlText w:val="•"/>
      <w:lvlJc w:val="left"/>
      <w:pPr>
        <w:ind w:left="1983" w:hanging="140"/>
      </w:pPr>
      <w:rPr>
        <w:rFonts w:hint="default"/>
        <w:lang w:val="it-IT" w:eastAsia="en-US" w:bidi="ar-SA"/>
      </w:rPr>
    </w:lvl>
    <w:lvl w:ilvl="3">
      <w:start w:val="0"/>
      <w:numFmt w:val="bullet"/>
      <w:lvlText w:val="•"/>
      <w:lvlJc w:val="left"/>
      <w:pPr>
        <w:ind w:left="2905" w:hanging="140"/>
      </w:pPr>
      <w:rPr>
        <w:rFonts w:hint="default"/>
        <w:lang w:val="it-IT" w:eastAsia="en-US" w:bidi="ar-SA"/>
      </w:rPr>
    </w:lvl>
    <w:lvl w:ilvl="4">
      <w:start w:val="0"/>
      <w:numFmt w:val="bullet"/>
      <w:lvlText w:val="•"/>
      <w:lvlJc w:val="left"/>
      <w:pPr>
        <w:ind w:left="3826" w:hanging="140"/>
      </w:pPr>
      <w:rPr>
        <w:rFonts w:hint="default"/>
        <w:lang w:val="it-IT" w:eastAsia="en-US" w:bidi="ar-SA"/>
      </w:rPr>
    </w:lvl>
    <w:lvl w:ilvl="5">
      <w:start w:val="0"/>
      <w:numFmt w:val="bullet"/>
      <w:lvlText w:val="•"/>
      <w:lvlJc w:val="left"/>
      <w:pPr>
        <w:ind w:left="4748" w:hanging="140"/>
      </w:pPr>
      <w:rPr>
        <w:rFonts w:hint="default"/>
        <w:lang w:val="it-IT" w:eastAsia="en-US" w:bidi="ar-SA"/>
      </w:rPr>
    </w:lvl>
    <w:lvl w:ilvl="6">
      <w:start w:val="0"/>
      <w:numFmt w:val="bullet"/>
      <w:lvlText w:val="•"/>
      <w:lvlJc w:val="left"/>
      <w:pPr>
        <w:ind w:left="5670" w:hanging="140"/>
      </w:pPr>
      <w:rPr>
        <w:rFonts w:hint="default"/>
        <w:lang w:val="it-IT" w:eastAsia="en-US" w:bidi="ar-SA"/>
      </w:rPr>
    </w:lvl>
    <w:lvl w:ilvl="7">
      <w:start w:val="0"/>
      <w:numFmt w:val="bullet"/>
      <w:lvlText w:val="•"/>
      <w:lvlJc w:val="left"/>
      <w:pPr>
        <w:ind w:left="6591" w:hanging="140"/>
      </w:pPr>
      <w:rPr>
        <w:rFonts w:hint="default"/>
        <w:lang w:val="it-IT" w:eastAsia="en-US" w:bidi="ar-SA"/>
      </w:rPr>
    </w:lvl>
    <w:lvl w:ilvl="8">
      <w:start w:val="0"/>
      <w:numFmt w:val="bullet"/>
      <w:lvlText w:val="•"/>
      <w:lvlJc w:val="left"/>
      <w:pPr>
        <w:ind w:left="7513" w:hanging="140"/>
      </w:pPr>
      <w:rPr>
        <w:rFonts w:hint="default"/>
        <w:lang w:val="it-IT"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t-IT" w:eastAsia="en-US" w:bidi="ar-SA"/>
    </w:rPr>
  </w:style>
  <w:style w:styleId="BodyText" w:type="paragraph">
    <w:name w:val="Body Text"/>
    <w:basedOn w:val="Normal"/>
    <w:uiPriority w:val="1"/>
    <w:qFormat/>
    <w:pPr>
      <w:ind w:left="143"/>
      <w:jc w:val="both"/>
    </w:pPr>
    <w:rPr>
      <w:rFonts w:ascii="Times New Roman" w:hAnsi="Times New Roman" w:eastAsia="Times New Roman" w:cs="Times New Roman"/>
      <w:sz w:val="24"/>
      <w:szCs w:val="24"/>
      <w:lang w:val="it-IT" w:eastAsia="en-US" w:bidi="ar-SA"/>
    </w:rPr>
  </w:style>
  <w:style w:styleId="Heading1" w:type="paragraph">
    <w:name w:val="Heading 1"/>
    <w:basedOn w:val="Normal"/>
    <w:uiPriority w:val="1"/>
    <w:qFormat/>
    <w:pPr>
      <w:spacing w:before="71"/>
      <w:jc w:val="center"/>
      <w:outlineLvl w:val="1"/>
    </w:pPr>
    <w:rPr>
      <w:rFonts w:ascii="Palatino Linotype" w:hAnsi="Palatino Linotype" w:eastAsia="Palatino Linotype" w:cs="Palatino Linotype"/>
      <w:b/>
      <w:bCs/>
      <w:sz w:val="24"/>
      <w:szCs w:val="24"/>
      <w:lang w:val="it-IT" w:eastAsia="en-US" w:bidi="ar-SA"/>
    </w:rPr>
  </w:style>
  <w:style w:styleId="Title" w:type="paragraph">
    <w:name w:val="Title"/>
    <w:basedOn w:val="Normal"/>
    <w:uiPriority w:val="1"/>
    <w:qFormat/>
    <w:pPr>
      <w:spacing w:before="364"/>
      <w:jc w:val="center"/>
    </w:pPr>
    <w:rPr>
      <w:rFonts w:ascii="Palatino Linotype" w:hAnsi="Palatino Linotype" w:eastAsia="Palatino Linotype" w:cs="Palatino Linotype"/>
      <w:b/>
      <w:bCs/>
      <w:sz w:val="44"/>
      <w:szCs w:val="44"/>
      <w:lang w:val="it-IT" w:eastAsia="en-US" w:bidi="ar-SA"/>
    </w:rPr>
  </w:style>
  <w:style w:styleId="ListParagraph" w:type="paragraph">
    <w:name w:val="List Paragraph"/>
    <w:basedOn w:val="Normal"/>
    <w:uiPriority w:val="1"/>
    <w:qFormat/>
    <w:pPr>
      <w:ind w:left="143" w:hanging="139"/>
      <w:jc w:val="both"/>
    </w:pPr>
    <w:rPr>
      <w:rFonts w:ascii="Times New Roman" w:hAnsi="Times New Roman" w:eastAsia="Times New Roman" w:cs="Times New Roman"/>
      <w:lang w:val="it-IT" w:eastAsia="en-US" w:bidi="ar-SA"/>
    </w:rPr>
  </w:style>
  <w:style w:styleId="TableParagraph" w:type="paragraph">
    <w:name w:val="Table Paragraph"/>
    <w:basedOn w:val="Normal"/>
    <w:uiPriority w:val="1"/>
    <w:qFormat/>
    <w:pPr>
      <w:ind w:left="70"/>
    </w:pPr>
    <w:rPr>
      <w:rFonts w:ascii="Cambria" w:hAnsi="Cambria" w:eastAsia="Cambria" w:cs="Cambria"/>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Erminio</dc:creator>
  <dcterms:created xsi:type="dcterms:W3CDTF">2025-11-27T10:43:00Z</dcterms:created>
  <dcterms:modified xsi:type="dcterms:W3CDTF">2025-11-27T10:43:00Z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HALLEY [Aspose.Words]">
    <vt:lpwstr>Aspose.Words [24.12.0] | AsposeTextPDF [1.0.2.5]  | Conversione [RTF-&gt;PDF]</vt:lpwstr>
  </property>
  <property fmtid="{D5CDD505-2E9C-101B-9397-08002B2CF9AE}" pid="4" name="LastSaved">
    <vt:filetime>2025-11-27T00:00:00Z</vt:filetime>
  </property>
  <property fmtid="{D5CDD505-2E9C-101B-9397-08002B2CF9AE}" pid="5" name="Producer">
    <vt:lpwstr>Aspose.Words for C++ 24.12.0</vt:lpwstr>
  </property>
</Properties>
</file>